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16E" w14:textId="77777777" w:rsidR="00735284" w:rsidRPr="002141F4" w:rsidRDefault="00735284" w:rsidP="00FF6CD5">
      <w:pPr>
        <w:spacing w:line="360" w:lineRule="auto"/>
        <w:jc w:val="center"/>
        <w:rPr>
          <w:szCs w:val="22"/>
        </w:rPr>
      </w:pPr>
      <w:r w:rsidRPr="002141F4">
        <w:rPr>
          <w:b/>
          <w:noProof/>
          <w:szCs w:val="22"/>
        </w:rPr>
        <w:t>ΠΕΡΙΛΗΨΗ ΤΩΝ ΧΑΡΑΚΤΗΡΙΣΤΙΚΩΝ ΤΟΥ ΠΡΟΪΟΝΤΟΣ</w:t>
      </w:r>
    </w:p>
    <w:p w14:paraId="1D9960C9" w14:textId="77777777" w:rsidR="00735284" w:rsidRPr="002141F4" w:rsidRDefault="00735284" w:rsidP="00FF6CD5">
      <w:pPr>
        <w:spacing w:line="360" w:lineRule="auto"/>
        <w:jc w:val="both"/>
        <w:rPr>
          <w:b/>
          <w:szCs w:val="22"/>
        </w:rPr>
      </w:pPr>
    </w:p>
    <w:p w14:paraId="2022BEDC" w14:textId="77777777" w:rsidR="00496809" w:rsidRPr="002141F4" w:rsidRDefault="00496809" w:rsidP="00FF6CD5">
      <w:pPr>
        <w:spacing w:line="360" w:lineRule="auto"/>
        <w:rPr>
          <w:szCs w:val="22"/>
        </w:rPr>
      </w:pPr>
      <w:r w:rsidRPr="002141F4">
        <w:rPr>
          <w:b/>
          <w:szCs w:val="22"/>
        </w:rPr>
        <w:t>1.</w:t>
      </w:r>
      <w:r w:rsidRPr="002141F4">
        <w:rPr>
          <w:b/>
          <w:szCs w:val="22"/>
        </w:rPr>
        <w:tab/>
        <w:t>ΟΝΟΜΑΣΙΑ ΤΟΥ ΦΑΡΜΑΚΕΥΤΙΚΟΥ ΠΡΟΪΟΝΤΟΣ</w:t>
      </w:r>
    </w:p>
    <w:p w14:paraId="7000CE78" w14:textId="77777777" w:rsidR="00496809" w:rsidRPr="002141F4" w:rsidRDefault="00496809" w:rsidP="00FF6CD5">
      <w:pPr>
        <w:spacing w:line="360" w:lineRule="auto"/>
        <w:rPr>
          <w:szCs w:val="22"/>
        </w:rPr>
      </w:pPr>
    </w:p>
    <w:p w14:paraId="69FDB58C" w14:textId="77777777" w:rsidR="00496809" w:rsidRPr="002141F4" w:rsidRDefault="006272E9" w:rsidP="00FF6CD5">
      <w:pPr>
        <w:spacing w:line="360" w:lineRule="auto"/>
        <w:rPr>
          <w:szCs w:val="22"/>
        </w:rPr>
      </w:pPr>
      <w:r w:rsidRPr="002141F4">
        <w:rPr>
          <w:szCs w:val="22"/>
          <w:lang w:val="en-US"/>
        </w:rPr>
        <w:t>Panadol</w:t>
      </w:r>
      <w:r w:rsidRPr="002141F4">
        <w:rPr>
          <w:szCs w:val="22"/>
        </w:rPr>
        <w:t xml:space="preserve"> 120</w:t>
      </w:r>
      <w:r w:rsidR="006F09EB" w:rsidRPr="002141F4">
        <w:rPr>
          <w:szCs w:val="22"/>
        </w:rPr>
        <w:t xml:space="preserve"> </w:t>
      </w:r>
      <w:r w:rsidRPr="002141F4">
        <w:rPr>
          <w:szCs w:val="22"/>
          <w:lang w:val="en-US"/>
        </w:rPr>
        <w:t>mg</w:t>
      </w:r>
      <w:r w:rsidRPr="002141F4">
        <w:rPr>
          <w:szCs w:val="22"/>
        </w:rPr>
        <w:t>/</w:t>
      </w:r>
      <w:r w:rsidR="006A28BE" w:rsidRPr="002141F4">
        <w:rPr>
          <w:szCs w:val="22"/>
        </w:rPr>
        <w:t>5</w:t>
      </w:r>
      <w:r w:rsidR="006F09EB" w:rsidRPr="002141F4">
        <w:rPr>
          <w:szCs w:val="22"/>
        </w:rPr>
        <w:t xml:space="preserve"> </w:t>
      </w:r>
      <w:r w:rsidRPr="002141F4">
        <w:rPr>
          <w:szCs w:val="22"/>
          <w:lang w:val="en-US"/>
        </w:rPr>
        <w:t>m</w:t>
      </w:r>
      <w:r w:rsidR="0014602B" w:rsidRPr="002141F4">
        <w:rPr>
          <w:szCs w:val="22"/>
          <w:lang w:val="en-US"/>
        </w:rPr>
        <w:t>L</w:t>
      </w:r>
      <w:r w:rsidRPr="002141F4">
        <w:rPr>
          <w:szCs w:val="22"/>
        </w:rPr>
        <w:t xml:space="preserve"> πόσιμο εναιώρημα</w:t>
      </w:r>
    </w:p>
    <w:p w14:paraId="452AA1B0" w14:textId="77777777" w:rsidR="003435AD" w:rsidRPr="002141F4" w:rsidRDefault="003435AD" w:rsidP="00FF6CD5">
      <w:pPr>
        <w:spacing w:line="360" w:lineRule="auto"/>
        <w:rPr>
          <w:szCs w:val="22"/>
        </w:rPr>
      </w:pPr>
    </w:p>
    <w:p w14:paraId="0F89B103" w14:textId="77777777" w:rsidR="00496809" w:rsidRPr="002141F4" w:rsidRDefault="00496809" w:rsidP="00FF6CD5">
      <w:pPr>
        <w:spacing w:line="360" w:lineRule="auto"/>
        <w:rPr>
          <w:szCs w:val="22"/>
        </w:rPr>
      </w:pPr>
      <w:r w:rsidRPr="002141F4">
        <w:rPr>
          <w:b/>
          <w:szCs w:val="22"/>
        </w:rPr>
        <w:t>2.</w:t>
      </w:r>
      <w:r w:rsidRPr="002141F4">
        <w:rPr>
          <w:b/>
          <w:szCs w:val="22"/>
        </w:rPr>
        <w:tab/>
        <w:t>ΠΟΙΟΤΙΚΗ ΚΑΙ ΠΟΣΟΤΙΚΗ ΣΥΝΘΕΣΗ</w:t>
      </w:r>
    </w:p>
    <w:p w14:paraId="30586BED" w14:textId="77777777" w:rsidR="00003E9C" w:rsidRPr="002141F4" w:rsidRDefault="00003E9C" w:rsidP="00FF6CD5">
      <w:pPr>
        <w:pStyle w:val="NoSpacing"/>
        <w:spacing w:line="360" w:lineRule="auto"/>
        <w:rPr>
          <w:szCs w:val="22"/>
        </w:rPr>
      </w:pPr>
    </w:p>
    <w:p w14:paraId="4B31208A" w14:textId="6B5A5791" w:rsidR="00003E9C" w:rsidRPr="002141F4" w:rsidRDefault="00003E9C" w:rsidP="00FF6CD5">
      <w:pPr>
        <w:pStyle w:val="NoSpacing"/>
        <w:spacing w:line="360" w:lineRule="auto"/>
        <w:rPr>
          <w:noProof/>
          <w:szCs w:val="22"/>
        </w:rPr>
      </w:pPr>
      <w:r w:rsidRPr="002141F4">
        <w:rPr>
          <w:noProof/>
          <w:szCs w:val="22"/>
        </w:rPr>
        <w:t>Κάθε 5</w:t>
      </w:r>
      <w:r w:rsidR="00960364" w:rsidRPr="002141F4">
        <w:rPr>
          <w:noProof/>
          <w:szCs w:val="22"/>
        </w:rPr>
        <w:t xml:space="preserve"> </w:t>
      </w:r>
      <w:r w:rsidR="0014602B" w:rsidRPr="002141F4">
        <w:rPr>
          <w:noProof/>
          <w:szCs w:val="22"/>
          <w:lang w:val="en-US"/>
        </w:rPr>
        <w:t>mL</w:t>
      </w:r>
      <w:r w:rsidRPr="002141F4">
        <w:rPr>
          <w:noProof/>
          <w:szCs w:val="22"/>
        </w:rPr>
        <w:t xml:space="preserve"> </w:t>
      </w:r>
      <w:r w:rsidR="00093447" w:rsidRPr="002141F4">
        <w:rPr>
          <w:noProof/>
          <w:szCs w:val="22"/>
        </w:rPr>
        <w:t xml:space="preserve">πόσιμου εναιωρήματος </w:t>
      </w:r>
      <w:r w:rsidRPr="002141F4">
        <w:rPr>
          <w:noProof/>
          <w:szCs w:val="22"/>
        </w:rPr>
        <w:t>περιέχ</w:t>
      </w:r>
      <w:r w:rsidR="005A7019" w:rsidRPr="002141F4">
        <w:rPr>
          <w:noProof/>
          <w:szCs w:val="22"/>
        </w:rPr>
        <w:t>ουν</w:t>
      </w:r>
      <w:r w:rsidRPr="002141F4">
        <w:rPr>
          <w:noProof/>
          <w:szCs w:val="22"/>
        </w:rPr>
        <w:t xml:space="preserve"> 120 </w:t>
      </w:r>
      <w:r w:rsidRPr="002141F4">
        <w:rPr>
          <w:noProof/>
          <w:szCs w:val="22"/>
          <w:lang w:val="en-US"/>
        </w:rPr>
        <w:t>mg</w:t>
      </w:r>
      <w:r w:rsidRPr="002141F4">
        <w:rPr>
          <w:noProof/>
          <w:szCs w:val="22"/>
        </w:rPr>
        <w:t xml:space="preserve"> </w:t>
      </w:r>
      <w:r w:rsidR="00FF7FBC" w:rsidRPr="002141F4">
        <w:rPr>
          <w:noProof/>
          <w:szCs w:val="22"/>
        </w:rPr>
        <w:t>π</w:t>
      </w:r>
      <w:r w:rsidRPr="002141F4">
        <w:rPr>
          <w:noProof/>
          <w:szCs w:val="22"/>
        </w:rPr>
        <w:t>αρακεταμόλη</w:t>
      </w:r>
      <w:r w:rsidR="00805DFB" w:rsidRPr="002141F4">
        <w:rPr>
          <w:noProof/>
          <w:szCs w:val="22"/>
        </w:rPr>
        <w:t>ς</w:t>
      </w:r>
      <w:r w:rsidRPr="002141F4">
        <w:rPr>
          <w:noProof/>
          <w:szCs w:val="22"/>
        </w:rPr>
        <w:t>.</w:t>
      </w:r>
    </w:p>
    <w:p w14:paraId="36BA25E0" w14:textId="77777777" w:rsidR="00003E9C" w:rsidRPr="002141F4" w:rsidRDefault="00003E9C" w:rsidP="00FF6CD5">
      <w:pPr>
        <w:pStyle w:val="NoSpacing"/>
        <w:spacing w:line="360" w:lineRule="auto"/>
        <w:rPr>
          <w:szCs w:val="22"/>
        </w:rPr>
      </w:pPr>
    </w:p>
    <w:p w14:paraId="1E4BD0C1" w14:textId="77777777" w:rsidR="00093447" w:rsidRPr="006142E0" w:rsidRDefault="00AA684F" w:rsidP="00FF6CD5">
      <w:pPr>
        <w:pStyle w:val="NoSpacing"/>
        <w:spacing w:line="360" w:lineRule="auto"/>
        <w:rPr>
          <w:szCs w:val="22"/>
        </w:rPr>
      </w:pPr>
      <w:r w:rsidRPr="00E30D83">
        <w:rPr>
          <w:szCs w:val="22"/>
          <w:u w:val="single"/>
        </w:rPr>
        <w:t xml:space="preserve">Έκδοχα </w:t>
      </w:r>
      <w:r w:rsidR="007718CC" w:rsidRPr="00E30D83">
        <w:rPr>
          <w:szCs w:val="22"/>
          <w:u w:val="single"/>
        </w:rPr>
        <w:t>με γνωστή δράση</w:t>
      </w:r>
      <w:r w:rsidRPr="006142E0">
        <w:rPr>
          <w:szCs w:val="22"/>
        </w:rPr>
        <w:t xml:space="preserve">: </w:t>
      </w:r>
    </w:p>
    <w:p w14:paraId="5D942F70" w14:textId="03DE3CB5" w:rsidR="00093447" w:rsidRPr="009D3FAD" w:rsidRDefault="00093447" w:rsidP="00FF6CD5">
      <w:pPr>
        <w:pStyle w:val="NoSpacing"/>
        <w:spacing w:line="360" w:lineRule="auto"/>
        <w:rPr>
          <w:noProof/>
          <w:szCs w:val="22"/>
        </w:rPr>
      </w:pPr>
      <w:r w:rsidRPr="009D3FAD">
        <w:rPr>
          <w:noProof/>
          <w:szCs w:val="22"/>
        </w:rPr>
        <w:t xml:space="preserve">Κάθε 5 </w:t>
      </w:r>
      <w:r w:rsidRPr="009D3FAD">
        <w:rPr>
          <w:noProof/>
          <w:szCs w:val="22"/>
          <w:lang w:val="en-US"/>
        </w:rPr>
        <w:t>mL</w:t>
      </w:r>
      <w:r w:rsidRPr="009D3FAD">
        <w:rPr>
          <w:noProof/>
          <w:szCs w:val="22"/>
        </w:rPr>
        <w:t xml:space="preserve"> πόσιμου εναιωρήματος </w:t>
      </w:r>
      <w:r w:rsidR="005A7019" w:rsidRPr="009D3FAD">
        <w:rPr>
          <w:noProof/>
          <w:szCs w:val="22"/>
        </w:rPr>
        <w:t xml:space="preserve">περιέχουν </w:t>
      </w:r>
      <w:r w:rsidR="00EF5180" w:rsidRPr="009D3FAD">
        <w:rPr>
          <w:noProof/>
          <w:szCs w:val="22"/>
        </w:rPr>
        <w:t>2777</w:t>
      </w:r>
      <w:r w:rsidR="001B29C1">
        <w:rPr>
          <w:noProof/>
          <w:szCs w:val="22"/>
        </w:rPr>
        <w:t>,</w:t>
      </w:r>
      <w:r w:rsidR="00EF5180" w:rsidRPr="009D3FAD">
        <w:rPr>
          <w:noProof/>
          <w:szCs w:val="22"/>
        </w:rPr>
        <w:t>5</w:t>
      </w:r>
      <w:r w:rsidR="00BA6549" w:rsidRPr="009D3FAD">
        <w:rPr>
          <w:noProof/>
          <w:szCs w:val="22"/>
        </w:rPr>
        <w:t xml:space="preserve"> </w:t>
      </w:r>
      <w:r w:rsidR="001B29C1">
        <w:rPr>
          <w:noProof/>
          <w:szCs w:val="22"/>
          <w:lang w:val="en-US"/>
        </w:rPr>
        <w:t>m</w:t>
      </w:r>
      <w:r w:rsidR="00BA6549" w:rsidRPr="009D3FAD">
        <w:rPr>
          <w:noProof/>
          <w:szCs w:val="22"/>
          <w:lang w:val="en-US"/>
        </w:rPr>
        <w:t>g</w:t>
      </w:r>
      <w:r w:rsidR="00BA6549" w:rsidRPr="009D3FAD">
        <w:rPr>
          <w:noProof/>
          <w:szCs w:val="22"/>
        </w:rPr>
        <w:t xml:space="preserve"> </w:t>
      </w:r>
      <w:r w:rsidR="00741442">
        <w:rPr>
          <w:noProof/>
          <w:szCs w:val="22"/>
        </w:rPr>
        <w:t>υγρ</w:t>
      </w:r>
      <w:r w:rsidR="002311F2">
        <w:rPr>
          <w:noProof/>
          <w:szCs w:val="22"/>
        </w:rPr>
        <w:t>ής</w:t>
      </w:r>
      <w:r w:rsidR="00D02D7B" w:rsidRPr="009D3FAD">
        <w:rPr>
          <w:noProof/>
          <w:szCs w:val="22"/>
        </w:rPr>
        <w:t xml:space="preserve"> </w:t>
      </w:r>
      <w:r w:rsidR="00BA6549" w:rsidRPr="009D3FAD">
        <w:rPr>
          <w:noProof/>
          <w:szCs w:val="22"/>
        </w:rPr>
        <w:t>μαλτιτόλης</w:t>
      </w:r>
      <w:r w:rsidR="000C32A8" w:rsidRPr="00E30D83">
        <w:rPr>
          <w:noProof/>
          <w:szCs w:val="22"/>
        </w:rPr>
        <w:t xml:space="preserve"> </w:t>
      </w:r>
      <w:r w:rsidR="000C32A8" w:rsidRPr="002141F4">
        <w:rPr>
          <w:noProof/>
          <w:szCs w:val="22"/>
        </w:rPr>
        <w:t>(E965)</w:t>
      </w:r>
      <w:r w:rsidR="00BA6549" w:rsidRPr="009D3FAD">
        <w:rPr>
          <w:noProof/>
          <w:szCs w:val="22"/>
        </w:rPr>
        <w:t>.</w:t>
      </w:r>
    </w:p>
    <w:p w14:paraId="18ECC5CA" w14:textId="19876B75" w:rsidR="00BA6549" w:rsidRPr="002141F4" w:rsidRDefault="00BA6549" w:rsidP="00FF6CD5">
      <w:pPr>
        <w:pStyle w:val="NoSpacing"/>
        <w:spacing w:line="360" w:lineRule="auto"/>
        <w:rPr>
          <w:noProof/>
          <w:szCs w:val="22"/>
        </w:rPr>
      </w:pPr>
      <w:r w:rsidRPr="002141F4">
        <w:rPr>
          <w:noProof/>
          <w:szCs w:val="22"/>
        </w:rPr>
        <w:t xml:space="preserve">Κάθε 5 </w:t>
      </w:r>
      <w:r w:rsidRPr="002141F4">
        <w:rPr>
          <w:noProof/>
          <w:szCs w:val="22"/>
          <w:lang w:val="en-US"/>
        </w:rPr>
        <w:t>mL</w:t>
      </w:r>
      <w:r w:rsidRPr="002141F4">
        <w:rPr>
          <w:noProof/>
          <w:szCs w:val="22"/>
        </w:rPr>
        <w:t xml:space="preserve"> πόσιμου εναιωρήματος περιέχ</w:t>
      </w:r>
      <w:r w:rsidR="005A7019" w:rsidRPr="002141F4">
        <w:rPr>
          <w:noProof/>
          <w:szCs w:val="22"/>
        </w:rPr>
        <w:t>ουν</w:t>
      </w:r>
      <w:r w:rsidRPr="002141F4">
        <w:rPr>
          <w:noProof/>
          <w:szCs w:val="22"/>
        </w:rPr>
        <w:t xml:space="preserve"> </w:t>
      </w:r>
      <w:r w:rsidR="00EF5180" w:rsidRPr="00E30D83">
        <w:rPr>
          <w:noProof/>
          <w:szCs w:val="22"/>
        </w:rPr>
        <w:t>750</w:t>
      </w:r>
      <w:r w:rsidRPr="002141F4">
        <w:rPr>
          <w:noProof/>
          <w:szCs w:val="22"/>
        </w:rPr>
        <w:t xml:space="preserve"> </w:t>
      </w:r>
      <w:r w:rsidRPr="002141F4">
        <w:rPr>
          <w:noProof/>
          <w:szCs w:val="22"/>
          <w:lang w:val="en-US"/>
        </w:rPr>
        <w:t>mg</w:t>
      </w:r>
      <w:r w:rsidRPr="002141F4">
        <w:rPr>
          <w:noProof/>
          <w:szCs w:val="22"/>
        </w:rPr>
        <w:t xml:space="preserve"> </w:t>
      </w:r>
      <w:r w:rsidR="002311F2">
        <w:rPr>
          <w:noProof/>
          <w:szCs w:val="22"/>
        </w:rPr>
        <w:t>υγρής</w:t>
      </w:r>
      <w:r w:rsidR="00741442" w:rsidRPr="002141F4">
        <w:rPr>
          <w:noProof/>
          <w:szCs w:val="22"/>
        </w:rPr>
        <w:t xml:space="preserve"> </w:t>
      </w:r>
      <w:r w:rsidR="007D7160" w:rsidRPr="002141F4">
        <w:rPr>
          <w:noProof/>
          <w:szCs w:val="22"/>
        </w:rPr>
        <w:t>σορβιτόλης</w:t>
      </w:r>
      <w:r w:rsidR="001B29C1">
        <w:rPr>
          <w:noProof/>
          <w:szCs w:val="22"/>
        </w:rPr>
        <w:t xml:space="preserve"> 70%</w:t>
      </w:r>
      <w:r w:rsidR="000C32A8" w:rsidRPr="00E30D83">
        <w:rPr>
          <w:noProof/>
          <w:szCs w:val="22"/>
        </w:rPr>
        <w:t xml:space="preserve"> </w:t>
      </w:r>
      <w:r w:rsidR="000C32A8" w:rsidRPr="002141F4">
        <w:rPr>
          <w:noProof/>
          <w:szCs w:val="22"/>
        </w:rPr>
        <w:t>(E420)</w:t>
      </w:r>
      <w:r w:rsidR="007D7160" w:rsidRPr="002141F4">
        <w:rPr>
          <w:noProof/>
          <w:szCs w:val="22"/>
        </w:rPr>
        <w:t>.</w:t>
      </w:r>
    </w:p>
    <w:p w14:paraId="361C8125" w14:textId="135B575A" w:rsidR="00BA6549" w:rsidRPr="002141F4" w:rsidRDefault="00BA6549" w:rsidP="00FF6CD5">
      <w:pPr>
        <w:pStyle w:val="NoSpacing"/>
        <w:spacing w:line="360" w:lineRule="auto"/>
        <w:rPr>
          <w:noProof/>
          <w:szCs w:val="22"/>
        </w:rPr>
      </w:pPr>
      <w:r w:rsidRPr="002141F4">
        <w:rPr>
          <w:noProof/>
          <w:szCs w:val="22"/>
        </w:rPr>
        <w:t xml:space="preserve">Κάθε 5 </w:t>
      </w:r>
      <w:r w:rsidRPr="002141F4">
        <w:rPr>
          <w:noProof/>
          <w:szCs w:val="22"/>
          <w:lang w:val="en-US"/>
        </w:rPr>
        <w:t>mL</w:t>
      </w:r>
      <w:r w:rsidRPr="002141F4">
        <w:rPr>
          <w:noProof/>
          <w:szCs w:val="22"/>
        </w:rPr>
        <w:t xml:space="preserve"> πόσιμου εναιωρήματος περιέχ</w:t>
      </w:r>
      <w:r w:rsidR="005A7019" w:rsidRPr="002141F4">
        <w:rPr>
          <w:noProof/>
          <w:szCs w:val="22"/>
        </w:rPr>
        <w:t>ουν</w:t>
      </w:r>
      <w:r w:rsidR="007D7160" w:rsidRPr="002141F4">
        <w:rPr>
          <w:noProof/>
          <w:szCs w:val="22"/>
        </w:rPr>
        <w:t xml:space="preserve"> </w:t>
      </w:r>
      <w:r w:rsidR="00EF5180" w:rsidRPr="00E30D83">
        <w:rPr>
          <w:noProof/>
          <w:szCs w:val="22"/>
        </w:rPr>
        <w:t>10</w:t>
      </w:r>
      <w:r w:rsidR="007D7160" w:rsidRPr="002141F4">
        <w:rPr>
          <w:noProof/>
          <w:szCs w:val="22"/>
        </w:rPr>
        <w:t xml:space="preserve"> </w:t>
      </w:r>
      <w:r w:rsidR="007D7160" w:rsidRPr="002141F4">
        <w:rPr>
          <w:noProof/>
          <w:szCs w:val="22"/>
          <w:lang w:val="en-US"/>
        </w:rPr>
        <w:t>mg</w:t>
      </w:r>
      <w:r w:rsidR="007D7160" w:rsidRPr="002141F4">
        <w:rPr>
          <w:noProof/>
          <w:szCs w:val="22"/>
        </w:rPr>
        <w:t xml:space="preserve"> </w:t>
      </w:r>
      <w:r w:rsidR="00E8327B" w:rsidRPr="002141F4">
        <w:rPr>
          <w:noProof/>
          <w:szCs w:val="22"/>
        </w:rPr>
        <w:t>παραϋδροξυ</w:t>
      </w:r>
      <w:r w:rsidR="007D7160" w:rsidRPr="002141F4">
        <w:rPr>
          <w:noProof/>
          <w:szCs w:val="22"/>
        </w:rPr>
        <w:t>βενζοϊκ</w:t>
      </w:r>
      <w:r w:rsidR="00D02D7B" w:rsidRPr="00E30D83">
        <w:rPr>
          <w:noProof/>
          <w:szCs w:val="22"/>
        </w:rPr>
        <w:t>ού</w:t>
      </w:r>
      <w:r w:rsidR="007D7160" w:rsidRPr="002141F4">
        <w:rPr>
          <w:noProof/>
          <w:szCs w:val="22"/>
        </w:rPr>
        <w:t xml:space="preserve"> μεθυλεστέρα</w:t>
      </w:r>
      <w:r w:rsidR="000C32A8" w:rsidRPr="00E30D83">
        <w:rPr>
          <w:noProof/>
          <w:szCs w:val="22"/>
        </w:rPr>
        <w:t xml:space="preserve"> </w:t>
      </w:r>
      <w:r w:rsidR="000C32A8" w:rsidRPr="002141F4">
        <w:rPr>
          <w:noProof/>
          <w:szCs w:val="22"/>
        </w:rPr>
        <w:t>(Ε218)</w:t>
      </w:r>
      <w:r w:rsidR="007D7160" w:rsidRPr="002141F4">
        <w:rPr>
          <w:noProof/>
          <w:szCs w:val="22"/>
        </w:rPr>
        <w:t>.</w:t>
      </w:r>
    </w:p>
    <w:p w14:paraId="715461FB" w14:textId="772814DE" w:rsidR="007D7160" w:rsidRPr="002141F4" w:rsidRDefault="007D7160" w:rsidP="00FF6CD5">
      <w:pPr>
        <w:pStyle w:val="NoSpacing"/>
        <w:spacing w:line="360" w:lineRule="auto"/>
        <w:rPr>
          <w:noProof/>
          <w:szCs w:val="22"/>
        </w:rPr>
      </w:pPr>
      <w:r w:rsidRPr="002141F4">
        <w:rPr>
          <w:noProof/>
          <w:szCs w:val="22"/>
        </w:rPr>
        <w:t xml:space="preserve">Κάθε 5 </w:t>
      </w:r>
      <w:r w:rsidRPr="002141F4">
        <w:rPr>
          <w:noProof/>
          <w:szCs w:val="22"/>
          <w:lang w:val="en-US"/>
        </w:rPr>
        <w:t>mL</w:t>
      </w:r>
      <w:r w:rsidRPr="002141F4">
        <w:rPr>
          <w:noProof/>
          <w:szCs w:val="22"/>
        </w:rPr>
        <w:t xml:space="preserve"> πόσιμου εναιωρήματος περιέχ</w:t>
      </w:r>
      <w:r w:rsidR="005A7019" w:rsidRPr="002141F4">
        <w:rPr>
          <w:noProof/>
          <w:szCs w:val="22"/>
        </w:rPr>
        <w:t>ουν</w:t>
      </w:r>
      <w:r w:rsidRPr="002141F4">
        <w:rPr>
          <w:noProof/>
          <w:szCs w:val="22"/>
        </w:rPr>
        <w:t xml:space="preserve"> </w:t>
      </w:r>
      <w:r w:rsidR="00EF5180" w:rsidRPr="00E30D83">
        <w:rPr>
          <w:noProof/>
          <w:szCs w:val="22"/>
        </w:rPr>
        <w:t>2,25</w:t>
      </w:r>
      <w:r w:rsidRPr="002141F4">
        <w:rPr>
          <w:noProof/>
          <w:szCs w:val="22"/>
        </w:rPr>
        <w:t xml:space="preserve"> </w:t>
      </w:r>
      <w:r w:rsidRPr="002141F4">
        <w:rPr>
          <w:noProof/>
          <w:szCs w:val="22"/>
          <w:lang w:val="en-US"/>
        </w:rPr>
        <w:t>mg</w:t>
      </w:r>
      <w:r w:rsidRPr="002141F4">
        <w:rPr>
          <w:noProof/>
          <w:szCs w:val="22"/>
        </w:rPr>
        <w:t xml:space="preserve"> </w:t>
      </w:r>
      <w:r w:rsidR="00E8327B" w:rsidRPr="002141F4">
        <w:rPr>
          <w:noProof/>
          <w:szCs w:val="22"/>
        </w:rPr>
        <w:t>παραϋδροξυ</w:t>
      </w:r>
      <w:r w:rsidRPr="002141F4">
        <w:rPr>
          <w:noProof/>
          <w:szCs w:val="22"/>
        </w:rPr>
        <w:t>βενζοϊκ</w:t>
      </w:r>
      <w:r w:rsidR="00D02D7B" w:rsidRPr="00E30D83">
        <w:rPr>
          <w:noProof/>
          <w:szCs w:val="22"/>
        </w:rPr>
        <w:t>ού</w:t>
      </w:r>
      <w:r w:rsidRPr="002141F4">
        <w:rPr>
          <w:noProof/>
          <w:szCs w:val="22"/>
        </w:rPr>
        <w:t xml:space="preserve"> προπυλεστέρα</w:t>
      </w:r>
      <w:r w:rsidR="000C32A8" w:rsidRPr="00E30D83">
        <w:rPr>
          <w:noProof/>
          <w:szCs w:val="22"/>
        </w:rPr>
        <w:t xml:space="preserve"> </w:t>
      </w:r>
      <w:r w:rsidR="000C32A8" w:rsidRPr="002141F4">
        <w:rPr>
          <w:noProof/>
          <w:szCs w:val="22"/>
        </w:rPr>
        <w:t>(Ε216)</w:t>
      </w:r>
      <w:r w:rsidRPr="002141F4">
        <w:rPr>
          <w:noProof/>
          <w:szCs w:val="22"/>
        </w:rPr>
        <w:t>.</w:t>
      </w:r>
    </w:p>
    <w:p w14:paraId="26285406" w14:textId="77777777" w:rsidR="00093447" w:rsidRPr="002141F4" w:rsidRDefault="00093447" w:rsidP="00FF6CD5">
      <w:pPr>
        <w:pStyle w:val="NoSpacing"/>
        <w:spacing w:line="360" w:lineRule="auto"/>
        <w:rPr>
          <w:noProof/>
          <w:szCs w:val="22"/>
        </w:rPr>
      </w:pPr>
    </w:p>
    <w:p w14:paraId="5E070A58" w14:textId="0F1BF63D" w:rsidR="00496809" w:rsidRPr="002141F4" w:rsidRDefault="00496809" w:rsidP="00FF6CD5">
      <w:pPr>
        <w:pStyle w:val="NoSpacing"/>
        <w:spacing w:line="360" w:lineRule="auto"/>
        <w:rPr>
          <w:szCs w:val="22"/>
        </w:rPr>
      </w:pPr>
      <w:r w:rsidRPr="006142E0">
        <w:rPr>
          <w:szCs w:val="22"/>
        </w:rPr>
        <w:t>Για τον πλήρη κατάλογο των εκδόχων, βλ. παράγραφο 6.1.</w:t>
      </w:r>
    </w:p>
    <w:p w14:paraId="4F24C309" w14:textId="77777777" w:rsidR="003435AD" w:rsidRPr="002141F4" w:rsidRDefault="003435AD" w:rsidP="00FF6CD5">
      <w:pPr>
        <w:pStyle w:val="NoSpacing"/>
        <w:spacing w:line="360" w:lineRule="auto"/>
        <w:rPr>
          <w:szCs w:val="22"/>
        </w:rPr>
      </w:pPr>
    </w:p>
    <w:p w14:paraId="505B0DC8" w14:textId="77777777" w:rsidR="00496809" w:rsidRPr="002141F4" w:rsidRDefault="00496809" w:rsidP="00FF6CD5">
      <w:pPr>
        <w:spacing w:line="360" w:lineRule="auto"/>
        <w:rPr>
          <w:szCs w:val="22"/>
        </w:rPr>
      </w:pPr>
      <w:r w:rsidRPr="002141F4">
        <w:rPr>
          <w:b/>
          <w:szCs w:val="22"/>
        </w:rPr>
        <w:t>3.</w:t>
      </w:r>
      <w:r w:rsidRPr="002141F4">
        <w:rPr>
          <w:b/>
          <w:szCs w:val="22"/>
        </w:rPr>
        <w:tab/>
        <w:t>ΦΑΡΜΑΚΟΤΕΧΝΙΚΗ ΜΟΡΦΗ</w:t>
      </w:r>
    </w:p>
    <w:p w14:paraId="502C7F82" w14:textId="77777777" w:rsidR="00003E9C" w:rsidRPr="002141F4" w:rsidRDefault="00003E9C" w:rsidP="00FF6CD5">
      <w:pPr>
        <w:spacing w:line="360" w:lineRule="auto"/>
        <w:rPr>
          <w:szCs w:val="22"/>
        </w:rPr>
      </w:pPr>
    </w:p>
    <w:p w14:paraId="56246D80" w14:textId="77777777" w:rsidR="00496809" w:rsidRDefault="00003E9C" w:rsidP="00FF6CD5">
      <w:pPr>
        <w:spacing w:line="360" w:lineRule="auto"/>
        <w:rPr>
          <w:noProof/>
          <w:szCs w:val="22"/>
        </w:rPr>
      </w:pPr>
      <w:r w:rsidRPr="002141F4">
        <w:rPr>
          <w:noProof/>
          <w:szCs w:val="22"/>
        </w:rPr>
        <w:t xml:space="preserve">Πόσιμο </w:t>
      </w:r>
      <w:r w:rsidR="003435AD" w:rsidRPr="002141F4">
        <w:rPr>
          <w:noProof/>
          <w:szCs w:val="22"/>
        </w:rPr>
        <w:t>ε</w:t>
      </w:r>
      <w:r w:rsidRPr="002141F4">
        <w:rPr>
          <w:noProof/>
          <w:szCs w:val="22"/>
        </w:rPr>
        <w:t>ναιώρημα</w:t>
      </w:r>
    </w:p>
    <w:p w14:paraId="4E89A815" w14:textId="77777777" w:rsidR="006255B5" w:rsidRPr="006142E0" w:rsidRDefault="00A92A45" w:rsidP="00FF6CD5">
      <w:pPr>
        <w:spacing w:line="360" w:lineRule="auto"/>
        <w:rPr>
          <w:noProof/>
          <w:szCs w:val="22"/>
        </w:rPr>
      </w:pPr>
      <w:r>
        <w:t>Αδιαφανές</w:t>
      </w:r>
      <w:r w:rsidRPr="00A92A45">
        <w:t xml:space="preserve"> </w:t>
      </w:r>
      <w:r>
        <w:t>έως</w:t>
      </w:r>
      <w:r w:rsidRPr="00A92A45">
        <w:t xml:space="preserve"> </w:t>
      </w:r>
      <w:r>
        <w:t>ημιδιαφανές</w:t>
      </w:r>
      <w:r w:rsidRPr="00A92A45">
        <w:t xml:space="preserve">, </w:t>
      </w:r>
      <w:r>
        <w:t>λευκό</w:t>
      </w:r>
      <w:r w:rsidRPr="00A92A45">
        <w:t xml:space="preserve"> </w:t>
      </w:r>
      <w:r>
        <w:t>έως</w:t>
      </w:r>
      <w:r w:rsidRPr="00A92A45">
        <w:t xml:space="preserve"> </w:t>
      </w:r>
      <w:r>
        <w:t>ελαφρώς καφέ εναιώρημα.</w:t>
      </w:r>
    </w:p>
    <w:p w14:paraId="73ABAF57" w14:textId="77777777" w:rsidR="003435AD" w:rsidRPr="000C32A8" w:rsidRDefault="003435AD" w:rsidP="00FF6CD5">
      <w:pPr>
        <w:spacing w:line="360" w:lineRule="auto"/>
        <w:rPr>
          <w:noProof/>
          <w:szCs w:val="22"/>
        </w:rPr>
      </w:pPr>
    </w:p>
    <w:p w14:paraId="1C728C8D" w14:textId="77777777" w:rsidR="00496809" w:rsidRPr="002141F4" w:rsidRDefault="00496809" w:rsidP="00FF6CD5">
      <w:pPr>
        <w:spacing w:line="360" w:lineRule="auto"/>
        <w:rPr>
          <w:szCs w:val="22"/>
        </w:rPr>
      </w:pPr>
      <w:r w:rsidRPr="002141F4">
        <w:rPr>
          <w:b/>
          <w:szCs w:val="22"/>
        </w:rPr>
        <w:t>4.</w:t>
      </w:r>
      <w:r w:rsidRPr="002141F4">
        <w:rPr>
          <w:b/>
          <w:szCs w:val="22"/>
        </w:rPr>
        <w:tab/>
        <w:t>ΚΛΙΝΙΚΕΣ ΠΛΗΡΟΦΟΡΙΕΣ</w:t>
      </w:r>
    </w:p>
    <w:p w14:paraId="7186BF15" w14:textId="77777777" w:rsidR="00496809" w:rsidRPr="002141F4" w:rsidRDefault="00496809" w:rsidP="00FF6CD5">
      <w:pPr>
        <w:spacing w:line="360" w:lineRule="auto"/>
        <w:rPr>
          <w:szCs w:val="22"/>
        </w:rPr>
      </w:pPr>
    </w:p>
    <w:p w14:paraId="595D7BDE" w14:textId="77777777" w:rsidR="00496809" w:rsidRPr="002141F4" w:rsidRDefault="00496809" w:rsidP="00FF6CD5">
      <w:pPr>
        <w:spacing w:line="360" w:lineRule="auto"/>
        <w:rPr>
          <w:szCs w:val="22"/>
        </w:rPr>
      </w:pPr>
      <w:r w:rsidRPr="002141F4">
        <w:rPr>
          <w:b/>
          <w:szCs w:val="22"/>
        </w:rPr>
        <w:t>4.1</w:t>
      </w:r>
      <w:r w:rsidRPr="002141F4">
        <w:rPr>
          <w:b/>
          <w:szCs w:val="22"/>
        </w:rPr>
        <w:tab/>
        <w:t>Θεραπευτικές ενδείξεις</w:t>
      </w:r>
    </w:p>
    <w:p w14:paraId="7265DB92" w14:textId="77777777" w:rsidR="00496809" w:rsidRPr="002141F4" w:rsidRDefault="00496809" w:rsidP="00FF6CD5">
      <w:pPr>
        <w:spacing w:line="360" w:lineRule="auto"/>
        <w:rPr>
          <w:szCs w:val="22"/>
        </w:rPr>
      </w:pPr>
    </w:p>
    <w:p w14:paraId="48A56DC5" w14:textId="77777777" w:rsidR="00D81C98" w:rsidRPr="002141F4" w:rsidRDefault="00D81C98" w:rsidP="00FF6CD5">
      <w:pPr>
        <w:spacing w:line="360" w:lineRule="auto"/>
        <w:rPr>
          <w:noProof/>
          <w:szCs w:val="22"/>
        </w:rPr>
      </w:pPr>
      <w:r w:rsidRPr="002141F4">
        <w:rPr>
          <w:noProof/>
          <w:szCs w:val="22"/>
        </w:rPr>
        <w:t>Αντιμετώπιση ήπιας έως μέτριας εντάσεως άλγους, δυσμηνόρροια</w:t>
      </w:r>
      <w:r w:rsidR="00D13699" w:rsidRPr="002141F4">
        <w:rPr>
          <w:noProof/>
          <w:szCs w:val="22"/>
        </w:rPr>
        <w:t xml:space="preserve"> </w:t>
      </w:r>
      <w:r w:rsidRPr="002141F4">
        <w:rPr>
          <w:noProof/>
          <w:szCs w:val="22"/>
        </w:rPr>
        <w:t xml:space="preserve">και ως αντιπυρετικό. </w:t>
      </w:r>
    </w:p>
    <w:p w14:paraId="0D70F09E" w14:textId="77777777" w:rsidR="00496809" w:rsidRPr="002141F4" w:rsidRDefault="00496809" w:rsidP="00FF6CD5">
      <w:pPr>
        <w:spacing w:line="360" w:lineRule="auto"/>
        <w:jc w:val="both"/>
        <w:rPr>
          <w:szCs w:val="22"/>
        </w:rPr>
      </w:pPr>
    </w:p>
    <w:p w14:paraId="40CB8CE7" w14:textId="77777777" w:rsidR="00496809" w:rsidRPr="002141F4" w:rsidRDefault="00496809" w:rsidP="00FF6CD5">
      <w:pPr>
        <w:spacing w:line="360" w:lineRule="auto"/>
        <w:jc w:val="both"/>
        <w:rPr>
          <w:szCs w:val="22"/>
        </w:rPr>
      </w:pPr>
      <w:r w:rsidRPr="002141F4">
        <w:rPr>
          <w:b/>
          <w:szCs w:val="22"/>
        </w:rPr>
        <w:t>4.2</w:t>
      </w:r>
      <w:r w:rsidRPr="002141F4">
        <w:rPr>
          <w:b/>
          <w:szCs w:val="22"/>
        </w:rPr>
        <w:tab/>
        <w:t>Δοσολογία και τρόπος χορήγησης</w:t>
      </w:r>
    </w:p>
    <w:p w14:paraId="5BE959E6" w14:textId="77777777" w:rsidR="00621055" w:rsidRPr="006142E0" w:rsidRDefault="00621055" w:rsidP="00FF6CD5">
      <w:pPr>
        <w:spacing w:line="360" w:lineRule="auto"/>
        <w:rPr>
          <w:szCs w:val="22"/>
          <w:u w:val="single"/>
        </w:rPr>
      </w:pPr>
    </w:p>
    <w:p w14:paraId="222AC08C" w14:textId="77777777" w:rsidR="00056716" w:rsidRPr="002141F4" w:rsidRDefault="00056716" w:rsidP="00FF6CD5">
      <w:pPr>
        <w:spacing w:line="360" w:lineRule="auto"/>
        <w:rPr>
          <w:noProof/>
          <w:szCs w:val="22"/>
          <w:u w:val="single"/>
        </w:rPr>
      </w:pPr>
      <w:r w:rsidRPr="002141F4">
        <w:rPr>
          <w:noProof/>
          <w:szCs w:val="22"/>
          <w:u w:val="single"/>
        </w:rPr>
        <w:t>Δοσολογία</w:t>
      </w:r>
    </w:p>
    <w:p w14:paraId="3204E963" w14:textId="77777777" w:rsidR="005E55A0" w:rsidRPr="002141F4" w:rsidRDefault="005E55A0" w:rsidP="00FF6CD5">
      <w:pPr>
        <w:spacing w:line="360" w:lineRule="auto"/>
        <w:rPr>
          <w:noProof/>
          <w:szCs w:val="22"/>
        </w:rPr>
      </w:pPr>
    </w:p>
    <w:p w14:paraId="017A4DEA" w14:textId="39A4F601" w:rsidR="005E55A0" w:rsidRPr="002141F4" w:rsidRDefault="005E55A0" w:rsidP="00FF6CD5">
      <w:pPr>
        <w:spacing w:line="360" w:lineRule="auto"/>
        <w:rPr>
          <w:noProof/>
          <w:szCs w:val="22"/>
          <w:u w:val="single"/>
        </w:rPr>
      </w:pPr>
      <w:r w:rsidRPr="002141F4">
        <w:rPr>
          <w:noProof/>
          <w:szCs w:val="22"/>
          <w:u w:val="single"/>
        </w:rPr>
        <w:t xml:space="preserve">Σε παιδιά ηλικίας κάτω των </w:t>
      </w:r>
      <w:r w:rsidR="00300D3D" w:rsidRPr="0034045B">
        <w:rPr>
          <w:noProof/>
          <w:szCs w:val="22"/>
          <w:u w:val="single"/>
        </w:rPr>
        <w:t>12</w:t>
      </w:r>
      <w:r w:rsidR="00300D3D">
        <w:rPr>
          <w:noProof/>
          <w:szCs w:val="22"/>
          <w:u w:val="single"/>
        </w:rPr>
        <w:t xml:space="preserve"> </w:t>
      </w:r>
      <w:r w:rsidRPr="002141F4">
        <w:rPr>
          <w:noProof/>
          <w:szCs w:val="22"/>
          <w:u w:val="single"/>
        </w:rPr>
        <w:t>ετών, η μέγιστη ημερήσια δόση παρακεταμόλης είναι 60 mg/kg/ημέρα σε 3 έως 4 διαστήματα, περίπου 10-15 mg/kg κάθε 6 ώρες.</w:t>
      </w:r>
    </w:p>
    <w:p w14:paraId="4C0BC068" w14:textId="77777777" w:rsidR="005E55A0" w:rsidRPr="002141F4" w:rsidRDefault="005E55A0" w:rsidP="00FF6CD5">
      <w:pPr>
        <w:spacing w:line="360" w:lineRule="auto"/>
        <w:rPr>
          <w:b/>
          <w:noProof/>
          <w:szCs w:val="22"/>
          <w:u w:val="single"/>
        </w:rPr>
      </w:pPr>
    </w:p>
    <w:p w14:paraId="79E12AAC" w14:textId="087E458E" w:rsidR="005E55A0" w:rsidRPr="002141F4" w:rsidRDefault="005E55A0" w:rsidP="00FF6CD5">
      <w:pPr>
        <w:spacing w:line="360" w:lineRule="auto"/>
        <w:rPr>
          <w:b/>
          <w:noProof/>
          <w:szCs w:val="22"/>
        </w:rPr>
      </w:pPr>
      <w:r w:rsidRPr="002141F4">
        <w:rPr>
          <w:b/>
          <w:noProof/>
          <w:szCs w:val="22"/>
        </w:rPr>
        <w:t xml:space="preserve">Πίνακας 5: Παιδιατρική </w:t>
      </w:r>
      <w:r w:rsidR="009C5580">
        <w:rPr>
          <w:b/>
          <w:noProof/>
          <w:szCs w:val="22"/>
        </w:rPr>
        <w:t>δ</w:t>
      </w:r>
      <w:r w:rsidRPr="002141F4">
        <w:rPr>
          <w:b/>
          <w:noProof/>
          <w:szCs w:val="22"/>
        </w:rPr>
        <w:t xml:space="preserve">οσολογία για το </w:t>
      </w:r>
      <w:r w:rsidRPr="002141F4">
        <w:rPr>
          <w:b/>
          <w:noProof/>
          <w:szCs w:val="22"/>
          <w:lang w:val="en-US"/>
        </w:rPr>
        <w:t>Panadol</w:t>
      </w:r>
      <w:r w:rsidRPr="002141F4">
        <w:rPr>
          <w:b/>
          <w:noProof/>
          <w:szCs w:val="22"/>
        </w:rPr>
        <w:t xml:space="preserve"> 120 mg/5 m</w:t>
      </w:r>
      <w:r w:rsidRPr="002141F4">
        <w:rPr>
          <w:b/>
          <w:noProof/>
          <w:szCs w:val="22"/>
          <w:lang w:val="en-US"/>
        </w:rPr>
        <w:t>L</w:t>
      </w:r>
      <w:r w:rsidRPr="002141F4">
        <w:rPr>
          <w:b/>
          <w:noProof/>
          <w:szCs w:val="22"/>
        </w:rPr>
        <w:t xml:space="preserve"> </w:t>
      </w:r>
      <w:r w:rsidR="000D34B7" w:rsidRPr="002141F4">
        <w:rPr>
          <w:b/>
          <w:noProof/>
          <w:szCs w:val="22"/>
        </w:rPr>
        <w:t>πόσιμο εναιώρημα</w:t>
      </w:r>
      <w:r w:rsidR="00805DFB" w:rsidRPr="002141F4">
        <w:rPr>
          <w:b/>
          <w:noProof/>
          <w:szCs w:val="22"/>
        </w:rPr>
        <w:t xml:space="preserve"> </w:t>
      </w:r>
      <w:r w:rsidRPr="002141F4">
        <w:rPr>
          <w:b/>
          <w:noProof/>
          <w:szCs w:val="22"/>
        </w:rPr>
        <w:t>σύμφωνα με το σωματικό βάρος</w:t>
      </w:r>
    </w:p>
    <w:tbl>
      <w:tblPr>
        <w:tblpPr w:leftFromText="180" w:rightFromText="180" w:vertAnchor="text" w:horzAnchor="margin" w:tblpY="12"/>
        <w:tblOverlap w:val="neve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305"/>
        <w:gridCol w:w="1366"/>
        <w:gridCol w:w="1678"/>
        <w:gridCol w:w="1708"/>
        <w:gridCol w:w="1388"/>
        <w:gridCol w:w="1953"/>
      </w:tblGrid>
      <w:tr w:rsidR="00782717" w:rsidRPr="002141F4" w14:paraId="7518E854" w14:textId="77777777" w:rsidTr="00C638CC">
        <w:trPr>
          <w:trHeight w:val="80"/>
        </w:trPr>
        <w:tc>
          <w:tcPr>
            <w:tcW w:w="1315" w:type="dxa"/>
            <w:vAlign w:val="bottom"/>
          </w:tcPr>
          <w:p w14:paraId="4E2F0C6F" w14:textId="6F3F0D1C" w:rsidR="005E55A0" w:rsidRPr="002141F4" w:rsidRDefault="005E55A0" w:rsidP="00F91B24">
            <w:pPr>
              <w:spacing w:line="360" w:lineRule="auto"/>
              <w:jc w:val="both"/>
              <w:rPr>
                <w:b/>
                <w:noProof/>
                <w:szCs w:val="22"/>
              </w:rPr>
            </w:pPr>
            <w:r w:rsidRPr="002141F4">
              <w:rPr>
                <w:b/>
                <w:noProof/>
                <w:szCs w:val="22"/>
              </w:rPr>
              <w:lastRenderedPageBreak/>
              <w:t xml:space="preserve">Σωματικό </w:t>
            </w:r>
            <w:r w:rsidR="006C4840">
              <w:rPr>
                <w:b/>
                <w:noProof/>
                <w:szCs w:val="22"/>
              </w:rPr>
              <w:t>β</w:t>
            </w:r>
            <w:r w:rsidRPr="002141F4">
              <w:rPr>
                <w:b/>
                <w:noProof/>
                <w:szCs w:val="22"/>
              </w:rPr>
              <w:t>άρος</w:t>
            </w:r>
          </w:p>
          <w:p w14:paraId="7DFCD337" w14:textId="77777777" w:rsidR="005E55A0" w:rsidRPr="002141F4" w:rsidRDefault="005E55A0" w:rsidP="00F91B24">
            <w:pPr>
              <w:spacing w:line="360" w:lineRule="auto"/>
              <w:jc w:val="both"/>
              <w:rPr>
                <w:b/>
                <w:noProof/>
                <w:szCs w:val="22"/>
              </w:rPr>
            </w:pPr>
            <w:r w:rsidRPr="002141F4">
              <w:rPr>
                <w:b/>
                <w:noProof/>
                <w:szCs w:val="22"/>
              </w:rPr>
              <w:t>(kg)</w:t>
            </w:r>
          </w:p>
        </w:tc>
        <w:tc>
          <w:tcPr>
            <w:tcW w:w="1373" w:type="dxa"/>
            <w:vAlign w:val="bottom"/>
          </w:tcPr>
          <w:p w14:paraId="673FDD77" w14:textId="60E6D1AC" w:rsidR="005E55A0" w:rsidRPr="002141F4" w:rsidRDefault="005E55A0" w:rsidP="007E1266">
            <w:pPr>
              <w:spacing w:line="360" w:lineRule="auto"/>
              <w:jc w:val="both"/>
              <w:rPr>
                <w:b/>
                <w:noProof/>
                <w:szCs w:val="22"/>
              </w:rPr>
            </w:pPr>
            <w:r w:rsidRPr="002141F4">
              <w:rPr>
                <w:b/>
                <w:noProof/>
                <w:szCs w:val="22"/>
              </w:rPr>
              <w:t xml:space="preserve">Ηλικία κατά </w:t>
            </w:r>
            <w:r w:rsidR="006C4840">
              <w:rPr>
                <w:b/>
                <w:noProof/>
                <w:szCs w:val="22"/>
              </w:rPr>
              <w:t>π</w:t>
            </w:r>
            <w:r w:rsidRPr="002141F4">
              <w:rPr>
                <w:b/>
                <w:noProof/>
                <w:szCs w:val="22"/>
              </w:rPr>
              <w:t>ροσέγγιση (έτη)*</w:t>
            </w:r>
          </w:p>
        </w:tc>
        <w:tc>
          <w:tcPr>
            <w:tcW w:w="1682" w:type="dxa"/>
            <w:vAlign w:val="bottom"/>
          </w:tcPr>
          <w:p w14:paraId="181FFB12" w14:textId="12069FE9" w:rsidR="005E55A0" w:rsidRPr="002141F4" w:rsidRDefault="005E55A0" w:rsidP="005429C8">
            <w:pPr>
              <w:spacing w:line="360" w:lineRule="auto"/>
              <w:jc w:val="both"/>
              <w:rPr>
                <w:b/>
                <w:noProof/>
                <w:szCs w:val="22"/>
              </w:rPr>
            </w:pPr>
            <w:r w:rsidRPr="002141F4">
              <w:rPr>
                <w:b/>
                <w:noProof/>
                <w:szCs w:val="22"/>
              </w:rPr>
              <w:t xml:space="preserve">Δόση </w:t>
            </w:r>
            <w:r w:rsidR="006C4840">
              <w:rPr>
                <w:b/>
                <w:noProof/>
                <w:szCs w:val="22"/>
              </w:rPr>
              <w:t>π</w:t>
            </w:r>
            <w:r w:rsidRPr="002141F4">
              <w:rPr>
                <w:b/>
                <w:noProof/>
                <w:szCs w:val="22"/>
              </w:rPr>
              <w:t>αρακεταμόλης (mg)</w:t>
            </w:r>
          </w:p>
        </w:tc>
        <w:tc>
          <w:tcPr>
            <w:tcW w:w="1738" w:type="dxa"/>
            <w:vAlign w:val="bottom"/>
          </w:tcPr>
          <w:p w14:paraId="1DEF970A" w14:textId="23315AC1" w:rsidR="005E55A0" w:rsidRPr="002141F4" w:rsidRDefault="005E55A0" w:rsidP="00D872BF">
            <w:pPr>
              <w:spacing w:line="360" w:lineRule="auto"/>
              <w:jc w:val="both"/>
              <w:rPr>
                <w:b/>
                <w:noProof/>
                <w:szCs w:val="22"/>
              </w:rPr>
            </w:pPr>
            <w:r w:rsidRPr="002141F4">
              <w:rPr>
                <w:b/>
                <w:noProof/>
                <w:szCs w:val="22"/>
              </w:rPr>
              <w:t>Αριθμός m</w:t>
            </w:r>
            <w:r w:rsidRPr="002141F4">
              <w:rPr>
                <w:b/>
                <w:noProof/>
                <w:szCs w:val="22"/>
                <w:lang w:val="en-US"/>
              </w:rPr>
              <w:t>L</w:t>
            </w:r>
            <w:r w:rsidRPr="002141F4">
              <w:rPr>
                <w:b/>
                <w:noProof/>
                <w:szCs w:val="22"/>
              </w:rPr>
              <w:t xml:space="preserve"> ανά </w:t>
            </w:r>
            <w:r w:rsidR="006C4840">
              <w:rPr>
                <w:b/>
                <w:noProof/>
                <w:szCs w:val="22"/>
              </w:rPr>
              <w:t>δ</w:t>
            </w:r>
            <w:r w:rsidRPr="002141F4">
              <w:rPr>
                <w:b/>
                <w:noProof/>
                <w:szCs w:val="22"/>
              </w:rPr>
              <w:t>όση</w:t>
            </w:r>
          </w:p>
        </w:tc>
        <w:tc>
          <w:tcPr>
            <w:tcW w:w="1403" w:type="dxa"/>
            <w:vAlign w:val="bottom"/>
          </w:tcPr>
          <w:p w14:paraId="0B8228A3" w14:textId="37735EED" w:rsidR="005E55A0" w:rsidRPr="002141F4" w:rsidRDefault="005E55A0" w:rsidP="00F91B24">
            <w:pPr>
              <w:spacing w:line="360" w:lineRule="auto"/>
              <w:jc w:val="both"/>
              <w:rPr>
                <w:noProof/>
                <w:szCs w:val="22"/>
              </w:rPr>
            </w:pPr>
            <w:r w:rsidRPr="002141F4">
              <w:rPr>
                <w:b/>
                <w:noProof/>
                <w:szCs w:val="22"/>
              </w:rPr>
              <w:t xml:space="preserve">Ελάχιστο </w:t>
            </w:r>
            <w:r w:rsidR="006C4840">
              <w:rPr>
                <w:b/>
                <w:noProof/>
                <w:szCs w:val="22"/>
              </w:rPr>
              <w:t>δ</w:t>
            </w:r>
            <w:r w:rsidRPr="002141F4">
              <w:rPr>
                <w:b/>
                <w:noProof/>
                <w:szCs w:val="22"/>
              </w:rPr>
              <w:t>ιάστημα μεταξύ των δόσεων</w:t>
            </w:r>
          </w:p>
          <w:p w14:paraId="1B5DAC11" w14:textId="77777777" w:rsidR="005E55A0" w:rsidRPr="002141F4" w:rsidRDefault="005E55A0" w:rsidP="00F91B24">
            <w:pPr>
              <w:spacing w:line="360" w:lineRule="auto"/>
              <w:jc w:val="both"/>
              <w:rPr>
                <w:b/>
                <w:noProof/>
                <w:szCs w:val="22"/>
              </w:rPr>
            </w:pPr>
            <w:r w:rsidRPr="002141F4">
              <w:rPr>
                <w:b/>
                <w:noProof/>
                <w:szCs w:val="22"/>
              </w:rPr>
              <w:t>(ώρες)</w:t>
            </w:r>
          </w:p>
        </w:tc>
        <w:tc>
          <w:tcPr>
            <w:tcW w:w="1987" w:type="dxa"/>
            <w:vAlign w:val="bottom"/>
          </w:tcPr>
          <w:p w14:paraId="739EBA26" w14:textId="023AB7F9" w:rsidR="005E55A0" w:rsidRPr="002141F4" w:rsidRDefault="005E55A0" w:rsidP="00F91B24">
            <w:pPr>
              <w:spacing w:line="360" w:lineRule="auto"/>
              <w:jc w:val="both"/>
              <w:rPr>
                <w:b/>
                <w:noProof/>
                <w:szCs w:val="22"/>
              </w:rPr>
            </w:pPr>
            <w:r w:rsidRPr="002141F4">
              <w:rPr>
                <w:b/>
                <w:noProof/>
                <w:szCs w:val="22"/>
              </w:rPr>
              <w:t xml:space="preserve">Μέγιστη </w:t>
            </w:r>
            <w:r w:rsidR="006C4840">
              <w:rPr>
                <w:b/>
                <w:noProof/>
                <w:szCs w:val="22"/>
              </w:rPr>
              <w:t>η</w:t>
            </w:r>
            <w:r w:rsidRPr="002141F4">
              <w:rPr>
                <w:b/>
                <w:noProof/>
                <w:szCs w:val="22"/>
              </w:rPr>
              <w:t xml:space="preserve">μερήσια </w:t>
            </w:r>
            <w:r w:rsidR="006C4840">
              <w:rPr>
                <w:b/>
                <w:noProof/>
                <w:szCs w:val="22"/>
              </w:rPr>
              <w:t>δ</w:t>
            </w:r>
            <w:r w:rsidRPr="002141F4">
              <w:rPr>
                <w:b/>
                <w:noProof/>
                <w:szCs w:val="22"/>
              </w:rPr>
              <w:t>όση</w:t>
            </w:r>
          </w:p>
          <w:p w14:paraId="2B5849EE" w14:textId="77777777" w:rsidR="005E55A0" w:rsidRPr="002141F4" w:rsidRDefault="005E55A0" w:rsidP="00F91B24">
            <w:pPr>
              <w:spacing w:line="360" w:lineRule="auto"/>
              <w:jc w:val="both"/>
              <w:rPr>
                <w:b/>
                <w:noProof/>
                <w:szCs w:val="22"/>
              </w:rPr>
            </w:pPr>
            <w:r w:rsidRPr="002141F4">
              <w:rPr>
                <w:b/>
                <w:noProof/>
                <w:szCs w:val="22"/>
              </w:rPr>
              <w:t>(m</w:t>
            </w:r>
            <w:r w:rsidRPr="002141F4">
              <w:rPr>
                <w:b/>
                <w:noProof/>
                <w:szCs w:val="22"/>
                <w:lang w:val="en-US"/>
              </w:rPr>
              <w:t>L</w:t>
            </w:r>
            <w:r w:rsidRPr="002141F4">
              <w:rPr>
                <w:b/>
                <w:noProof/>
                <w:szCs w:val="22"/>
              </w:rPr>
              <w:t>)</w:t>
            </w:r>
          </w:p>
        </w:tc>
      </w:tr>
      <w:tr w:rsidR="00782717" w:rsidRPr="002141F4" w14:paraId="4CBD8AFC" w14:textId="77777777" w:rsidTr="00C638CC">
        <w:trPr>
          <w:trHeight w:val="694"/>
        </w:trPr>
        <w:tc>
          <w:tcPr>
            <w:tcW w:w="1315" w:type="dxa"/>
            <w:vAlign w:val="center"/>
          </w:tcPr>
          <w:p w14:paraId="5795D98C" w14:textId="77777777" w:rsidR="005E55A0" w:rsidRPr="002141F4" w:rsidRDefault="005E55A0" w:rsidP="00F91B24">
            <w:pPr>
              <w:spacing w:line="360" w:lineRule="auto"/>
              <w:jc w:val="both"/>
              <w:rPr>
                <w:noProof/>
                <w:szCs w:val="22"/>
              </w:rPr>
            </w:pPr>
            <w:r w:rsidRPr="002141F4">
              <w:rPr>
                <w:noProof/>
                <w:szCs w:val="22"/>
              </w:rPr>
              <w:t>&lt; 8</w:t>
            </w:r>
          </w:p>
        </w:tc>
        <w:tc>
          <w:tcPr>
            <w:tcW w:w="1373" w:type="dxa"/>
            <w:vAlign w:val="center"/>
          </w:tcPr>
          <w:p w14:paraId="2AC7B397" w14:textId="77777777" w:rsidR="005E55A0" w:rsidRPr="002141F4" w:rsidRDefault="005E55A0" w:rsidP="00F91B24">
            <w:pPr>
              <w:spacing w:line="360" w:lineRule="auto"/>
              <w:jc w:val="both"/>
              <w:rPr>
                <w:noProof/>
                <w:szCs w:val="22"/>
              </w:rPr>
            </w:pPr>
            <w:r w:rsidRPr="002141F4">
              <w:rPr>
                <w:noProof/>
                <w:szCs w:val="22"/>
              </w:rPr>
              <w:t>&lt; 1</w:t>
            </w:r>
          </w:p>
        </w:tc>
        <w:tc>
          <w:tcPr>
            <w:tcW w:w="6810" w:type="dxa"/>
            <w:gridSpan w:val="4"/>
            <w:vAlign w:val="center"/>
          </w:tcPr>
          <w:p w14:paraId="4A4178A1" w14:textId="77777777" w:rsidR="005E55A0" w:rsidRPr="002141F4" w:rsidRDefault="005E55A0" w:rsidP="00FF6CD5">
            <w:pPr>
              <w:spacing w:line="360" w:lineRule="auto"/>
              <w:jc w:val="center"/>
              <w:rPr>
                <w:noProof/>
                <w:szCs w:val="22"/>
              </w:rPr>
            </w:pPr>
            <w:r w:rsidRPr="002141F4">
              <w:rPr>
                <w:noProof/>
                <w:szCs w:val="22"/>
              </w:rPr>
              <w:t>Απευθυνθείτε σε γιατρό</w:t>
            </w:r>
          </w:p>
        </w:tc>
      </w:tr>
      <w:tr w:rsidR="00782717" w:rsidRPr="002141F4" w14:paraId="5C5EB310" w14:textId="77777777" w:rsidTr="00C638CC">
        <w:trPr>
          <w:trHeight w:val="694"/>
        </w:trPr>
        <w:tc>
          <w:tcPr>
            <w:tcW w:w="1315" w:type="dxa"/>
            <w:vAlign w:val="center"/>
          </w:tcPr>
          <w:p w14:paraId="1E89BEDD" w14:textId="77777777" w:rsidR="005E55A0" w:rsidRPr="002141F4" w:rsidRDefault="005E55A0" w:rsidP="00F91B24">
            <w:pPr>
              <w:spacing w:line="360" w:lineRule="auto"/>
              <w:jc w:val="both"/>
              <w:rPr>
                <w:noProof/>
                <w:szCs w:val="22"/>
              </w:rPr>
            </w:pPr>
            <w:r w:rsidRPr="002141F4">
              <w:rPr>
                <w:noProof/>
                <w:szCs w:val="22"/>
              </w:rPr>
              <w:t>8 έως &lt; 12</w:t>
            </w:r>
          </w:p>
        </w:tc>
        <w:tc>
          <w:tcPr>
            <w:tcW w:w="1373" w:type="dxa"/>
            <w:vAlign w:val="center"/>
          </w:tcPr>
          <w:p w14:paraId="256BEB8B" w14:textId="77777777" w:rsidR="005E55A0" w:rsidRPr="002141F4" w:rsidRDefault="005E55A0" w:rsidP="00F91B24">
            <w:pPr>
              <w:spacing w:line="360" w:lineRule="auto"/>
              <w:jc w:val="both"/>
              <w:rPr>
                <w:noProof/>
                <w:szCs w:val="22"/>
              </w:rPr>
            </w:pPr>
            <w:r w:rsidRPr="002141F4">
              <w:rPr>
                <w:noProof/>
                <w:szCs w:val="22"/>
              </w:rPr>
              <w:t>1 έως &lt; 2</w:t>
            </w:r>
          </w:p>
        </w:tc>
        <w:tc>
          <w:tcPr>
            <w:tcW w:w="1682" w:type="dxa"/>
            <w:vAlign w:val="center"/>
          </w:tcPr>
          <w:p w14:paraId="3838035F" w14:textId="77777777" w:rsidR="005E55A0" w:rsidRPr="002141F4" w:rsidRDefault="005E55A0" w:rsidP="00F91B24">
            <w:pPr>
              <w:spacing w:line="360" w:lineRule="auto"/>
              <w:jc w:val="both"/>
              <w:rPr>
                <w:noProof/>
                <w:szCs w:val="22"/>
              </w:rPr>
            </w:pPr>
            <w:r w:rsidRPr="002141F4">
              <w:rPr>
                <w:noProof/>
                <w:szCs w:val="22"/>
              </w:rPr>
              <w:t>120</w:t>
            </w:r>
          </w:p>
        </w:tc>
        <w:tc>
          <w:tcPr>
            <w:tcW w:w="1738" w:type="dxa"/>
            <w:vAlign w:val="center"/>
          </w:tcPr>
          <w:p w14:paraId="57E61F1D" w14:textId="77777777" w:rsidR="005E55A0" w:rsidRPr="002141F4" w:rsidRDefault="005E55A0" w:rsidP="00F91B24">
            <w:pPr>
              <w:spacing w:line="360" w:lineRule="auto"/>
              <w:jc w:val="both"/>
              <w:rPr>
                <w:noProof/>
                <w:szCs w:val="22"/>
              </w:rPr>
            </w:pPr>
            <w:r w:rsidRPr="002141F4">
              <w:rPr>
                <w:noProof/>
                <w:szCs w:val="22"/>
              </w:rPr>
              <w:t>5</w:t>
            </w:r>
          </w:p>
        </w:tc>
        <w:tc>
          <w:tcPr>
            <w:tcW w:w="1403" w:type="dxa"/>
            <w:vAlign w:val="center"/>
          </w:tcPr>
          <w:p w14:paraId="32447FF1" w14:textId="77777777" w:rsidR="005E55A0" w:rsidRPr="002141F4" w:rsidRDefault="005E55A0" w:rsidP="00F91B24">
            <w:pPr>
              <w:spacing w:line="360" w:lineRule="auto"/>
              <w:jc w:val="both"/>
              <w:rPr>
                <w:noProof/>
                <w:szCs w:val="22"/>
              </w:rPr>
            </w:pPr>
            <w:r w:rsidRPr="002141F4">
              <w:rPr>
                <w:noProof/>
                <w:szCs w:val="22"/>
              </w:rPr>
              <w:t>6</w:t>
            </w:r>
          </w:p>
        </w:tc>
        <w:tc>
          <w:tcPr>
            <w:tcW w:w="1987" w:type="dxa"/>
            <w:vAlign w:val="center"/>
          </w:tcPr>
          <w:p w14:paraId="08ED0351" w14:textId="77777777" w:rsidR="005E55A0" w:rsidRPr="002141F4" w:rsidRDefault="005E55A0" w:rsidP="00F91B24">
            <w:pPr>
              <w:spacing w:line="360" w:lineRule="auto"/>
              <w:jc w:val="both"/>
              <w:rPr>
                <w:noProof/>
                <w:szCs w:val="22"/>
              </w:rPr>
            </w:pPr>
            <w:r w:rsidRPr="002141F4">
              <w:rPr>
                <w:noProof/>
                <w:szCs w:val="22"/>
              </w:rPr>
              <w:t>20</w:t>
            </w:r>
          </w:p>
          <w:p w14:paraId="07A4E7D6" w14:textId="77777777" w:rsidR="005E55A0" w:rsidRPr="002141F4" w:rsidRDefault="005E55A0" w:rsidP="00F91B24">
            <w:pPr>
              <w:spacing w:line="360" w:lineRule="auto"/>
              <w:jc w:val="both"/>
              <w:rPr>
                <w:noProof/>
                <w:szCs w:val="22"/>
              </w:rPr>
            </w:pPr>
            <w:r w:rsidRPr="002141F4">
              <w:rPr>
                <w:noProof/>
                <w:szCs w:val="22"/>
              </w:rPr>
              <w:t>(480 mg)</w:t>
            </w:r>
          </w:p>
        </w:tc>
      </w:tr>
      <w:tr w:rsidR="00782717" w:rsidRPr="002141F4" w14:paraId="188E8051" w14:textId="77777777" w:rsidTr="00C638CC">
        <w:trPr>
          <w:trHeight w:val="694"/>
        </w:trPr>
        <w:tc>
          <w:tcPr>
            <w:tcW w:w="1315" w:type="dxa"/>
            <w:vAlign w:val="center"/>
          </w:tcPr>
          <w:p w14:paraId="3808611A" w14:textId="77777777" w:rsidR="005E55A0" w:rsidRPr="002141F4" w:rsidRDefault="005E55A0" w:rsidP="00F91B24">
            <w:pPr>
              <w:spacing w:line="360" w:lineRule="auto"/>
              <w:jc w:val="both"/>
              <w:rPr>
                <w:noProof/>
                <w:szCs w:val="22"/>
              </w:rPr>
            </w:pPr>
            <w:r w:rsidRPr="002141F4">
              <w:rPr>
                <w:noProof/>
                <w:szCs w:val="22"/>
              </w:rPr>
              <w:t>12 έως &lt; 16</w:t>
            </w:r>
          </w:p>
        </w:tc>
        <w:tc>
          <w:tcPr>
            <w:tcW w:w="1373" w:type="dxa"/>
            <w:vAlign w:val="center"/>
          </w:tcPr>
          <w:p w14:paraId="3481F8B0" w14:textId="77777777" w:rsidR="005E55A0" w:rsidRPr="002141F4" w:rsidRDefault="005E55A0" w:rsidP="00F91B24">
            <w:pPr>
              <w:spacing w:line="360" w:lineRule="auto"/>
              <w:jc w:val="both"/>
              <w:rPr>
                <w:noProof/>
                <w:szCs w:val="22"/>
              </w:rPr>
            </w:pPr>
            <w:r w:rsidRPr="002141F4">
              <w:rPr>
                <w:noProof/>
                <w:szCs w:val="22"/>
              </w:rPr>
              <w:t>2 έως &lt; 3</w:t>
            </w:r>
          </w:p>
        </w:tc>
        <w:tc>
          <w:tcPr>
            <w:tcW w:w="1682" w:type="dxa"/>
            <w:vAlign w:val="center"/>
          </w:tcPr>
          <w:p w14:paraId="792E5465" w14:textId="77777777" w:rsidR="005E55A0" w:rsidRPr="002141F4" w:rsidRDefault="005E55A0" w:rsidP="00F91B24">
            <w:pPr>
              <w:spacing w:line="360" w:lineRule="auto"/>
              <w:jc w:val="both"/>
              <w:rPr>
                <w:noProof/>
                <w:szCs w:val="22"/>
              </w:rPr>
            </w:pPr>
            <w:r w:rsidRPr="002141F4">
              <w:rPr>
                <w:noProof/>
                <w:szCs w:val="22"/>
              </w:rPr>
              <w:t>180</w:t>
            </w:r>
          </w:p>
        </w:tc>
        <w:tc>
          <w:tcPr>
            <w:tcW w:w="1738" w:type="dxa"/>
            <w:vAlign w:val="center"/>
          </w:tcPr>
          <w:p w14:paraId="0168AC71" w14:textId="77777777" w:rsidR="005E55A0" w:rsidRPr="002141F4" w:rsidRDefault="005E55A0" w:rsidP="00F91B24">
            <w:pPr>
              <w:spacing w:line="360" w:lineRule="auto"/>
              <w:jc w:val="both"/>
              <w:rPr>
                <w:noProof/>
                <w:szCs w:val="22"/>
              </w:rPr>
            </w:pPr>
            <w:r w:rsidRPr="002141F4">
              <w:rPr>
                <w:noProof/>
                <w:szCs w:val="22"/>
              </w:rPr>
              <w:t>7,5</w:t>
            </w:r>
          </w:p>
        </w:tc>
        <w:tc>
          <w:tcPr>
            <w:tcW w:w="1403" w:type="dxa"/>
            <w:vAlign w:val="center"/>
          </w:tcPr>
          <w:p w14:paraId="27AC275F" w14:textId="77777777" w:rsidR="005E55A0" w:rsidRPr="002141F4" w:rsidRDefault="005E55A0" w:rsidP="00F91B24">
            <w:pPr>
              <w:spacing w:line="360" w:lineRule="auto"/>
              <w:jc w:val="both"/>
              <w:rPr>
                <w:noProof/>
                <w:szCs w:val="22"/>
              </w:rPr>
            </w:pPr>
            <w:r w:rsidRPr="002141F4">
              <w:rPr>
                <w:noProof/>
                <w:szCs w:val="22"/>
              </w:rPr>
              <w:t>6</w:t>
            </w:r>
          </w:p>
        </w:tc>
        <w:tc>
          <w:tcPr>
            <w:tcW w:w="1987" w:type="dxa"/>
            <w:vAlign w:val="center"/>
          </w:tcPr>
          <w:p w14:paraId="126F2375" w14:textId="77777777" w:rsidR="005E55A0" w:rsidRPr="002141F4" w:rsidRDefault="005E55A0" w:rsidP="00F91B24">
            <w:pPr>
              <w:spacing w:line="360" w:lineRule="auto"/>
              <w:jc w:val="both"/>
              <w:rPr>
                <w:noProof/>
                <w:szCs w:val="22"/>
              </w:rPr>
            </w:pPr>
            <w:r w:rsidRPr="002141F4">
              <w:rPr>
                <w:noProof/>
                <w:szCs w:val="22"/>
              </w:rPr>
              <w:t>30</w:t>
            </w:r>
          </w:p>
          <w:p w14:paraId="4CB00A78" w14:textId="77777777" w:rsidR="005E55A0" w:rsidRPr="002141F4" w:rsidRDefault="005E55A0" w:rsidP="00F91B24">
            <w:pPr>
              <w:spacing w:line="360" w:lineRule="auto"/>
              <w:jc w:val="both"/>
              <w:rPr>
                <w:noProof/>
                <w:szCs w:val="22"/>
              </w:rPr>
            </w:pPr>
            <w:r w:rsidRPr="002141F4">
              <w:rPr>
                <w:noProof/>
                <w:szCs w:val="22"/>
              </w:rPr>
              <w:t>(720 mg)</w:t>
            </w:r>
          </w:p>
        </w:tc>
      </w:tr>
      <w:tr w:rsidR="00782717" w:rsidRPr="002141F4" w14:paraId="6C7911D0" w14:textId="77777777" w:rsidTr="00C638CC">
        <w:trPr>
          <w:trHeight w:val="694"/>
        </w:trPr>
        <w:tc>
          <w:tcPr>
            <w:tcW w:w="1315" w:type="dxa"/>
            <w:vAlign w:val="center"/>
          </w:tcPr>
          <w:p w14:paraId="2DDD4FA3" w14:textId="77777777" w:rsidR="005E55A0" w:rsidRPr="002141F4" w:rsidRDefault="005E55A0" w:rsidP="00F91B24">
            <w:pPr>
              <w:spacing w:line="360" w:lineRule="auto"/>
              <w:jc w:val="both"/>
              <w:rPr>
                <w:noProof/>
                <w:szCs w:val="22"/>
              </w:rPr>
            </w:pPr>
            <w:r w:rsidRPr="002141F4">
              <w:rPr>
                <w:noProof/>
                <w:szCs w:val="22"/>
              </w:rPr>
              <w:t>16 έως &lt; 20</w:t>
            </w:r>
          </w:p>
        </w:tc>
        <w:tc>
          <w:tcPr>
            <w:tcW w:w="1373" w:type="dxa"/>
            <w:vAlign w:val="center"/>
          </w:tcPr>
          <w:p w14:paraId="1E44DA23" w14:textId="77777777" w:rsidR="005E55A0" w:rsidRPr="002141F4" w:rsidRDefault="005E55A0" w:rsidP="00F91B24">
            <w:pPr>
              <w:spacing w:line="360" w:lineRule="auto"/>
              <w:jc w:val="both"/>
              <w:rPr>
                <w:noProof/>
                <w:szCs w:val="22"/>
              </w:rPr>
            </w:pPr>
            <w:r w:rsidRPr="002141F4">
              <w:rPr>
                <w:noProof/>
                <w:szCs w:val="22"/>
              </w:rPr>
              <w:t>3 έως &lt; 5</w:t>
            </w:r>
          </w:p>
        </w:tc>
        <w:tc>
          <w:tcPr>
            <w:tcW w:w="1682" w:type="dxa"/>
            <w:vAlign w:val="center"/>
          </w:tcPr>
          <w:p w14:paraId="527133DA" w14:textId="77777777" w:rsidR="005E55A0" w:rsidRPr="00E30D83" w:rsidRDefault="005E55A0" w:rsidP="00F91B24">
            <w:pPr>
              <w:spacing w:line="360" w:lineRule="auto"/>
              <w:jc w:val="both"/>
              <w:rPr>
                <w:noProof/>
                <w:szCs w:val="22"/>
                <w:lang w:val="en-US"/>
              </w:rPr>
            </w:pPr>
            <w:r w:rsidRPr="002141F4">
              <w:rPr>
                <w:noProof/>
                <w:szCs w:val="22"/>
              </w:rPr>
              <w:t>240</w:t>
            </w:r>
          </w:p>
        </w:tc>
        <w:tc>
          <w:tcPr>
            <w:tcW w:w="1738" w:type="dxa"/>
            <w:vAlign w:val="center"/>
          </w:tcPr>
          <w:p w14:paraId="5BDF0271" w14:textId="77777777" w:rsidR="005E55A0" w:rsidRPr="002141F4" w:rsidRDefault="005E55A0" w:rsidP="00F91B24">
            <w:pPr>
              <w:spacing w:line="360" w:lineRule="auto"/>
              <w:jc w:val="both"/>
              <w:rPr>
                <w:noProof/>
                <w:szCs w:val="22"/>
              </w:rPr>
            </w:pPr>
            <w:r w:rsidRPr="002141F4">
              <w:rPr>
                <w:noProof/>
                <w:szCs w:val="22"/>
              </w:rPr>
              <w:t>10</w:t>
            </w:r>
          </w:p>
        </w:tc>
        <w:tc>
          <w:tcPr>
            <w:tcW w:w="1403" w:type="dxa"/>
            <w:vAlign w:val="center"/>
          </w:tcPr>
          <w:p w14:paraId="156D977F" w14:textId="77777777" w:rsidR="005E55A0" w:rsidRPr="002141F4" w:rsidRDefault="005E55A0" w:rsidP="00F91B24">
            <w:pPr>
              <w:spacing w:line="360" w:lineRule="auto"/>
              <w:jc w:val="both"/>
              <w:rPr>
                <w:noProof/>
                <w:szCs w:val="22"/>
              </w:rPr>
            </w:pPr>
            <w:r w:rsidRPr="002141F4">
              <w:rPr>
                <w:noProof/>
                <w:szCs w:val="22"/>
              </w:rPr>
              <w:t>6</w:t>
            </w:r>
          </w:p>
        </w:tc>
        <w:tc>
          <w:tcPr>
            <w:tcW w:w="1987" w:type="dxa"/>
            <w:vAlign w:val="center"/>
          </w:tcPr>
          <w:p w14:paraId="2859B2F0" w14:textId="77777777" w:rsidR="005E55A0" w:rsidRPr="002141F4" w:rsidRDefault="005E55A0" w:rsidP="00F91B24">
            <w:pPr>
              <w:spacing w:line="360" w:lineRule="auto"/>
              <w:jc w:val="both"/>
              <w:rPr>
                <w:noProof/>
                <w:szCs w:val="22"/>
              </w:rPr>
            </w:pPr>
            <w:r w:rsidRPr="002141F4">
              <w:rPr>
                <w:noProof/>
                <w:szCs w:val="22"/>
              </w:rPr>
              <w:t>40</w:t>
            </w:r>
          </w:p>
          <w:p w14:paraId="143265D3" w14:textId="77777777" w:rsidR="005E55A0" w:rsidRPr="002141F4" w:rsidRDefault="005E55A0" w:rsidP="00F91B24">
            <w:pPr>
              <w:spacing w:line="360" w:lineRule="auto"/>
              <w:jc w:val="both"/>
              <w:rPr>
                <w:noProof/>
                <w:szCs w:val="22"/>
              </w:rPr>
            </w:pPr>
            <w:r w:rsidRPr="002141F4">
              <w:rPr>
                <w:noProof/>
                <w:szCs w:val="22"/>
              </w:rPr>
              <w:t>(960 mg)</w:t>
            </w:r>
          </w:p>
        </w:tc>
      </w:tr>
      <w:tr w:rsidR="00782717" w:rsidRPr="002141F4" w14:paraId="3BF247C5" w14:textId="77777777" w:rsidTr="00C638CC">
        <w:trPr>
          <w:trHeight w:val="694"/>
        </w:trPr>
        <w:tc>
          <w:tcPr>
            <w:tcW w:w="1315" w:type="dxa"/>
            <w:vAlign w:val="center"/>
          </w:tcPr>
          <w:p w14:paraId="7BAD414F" w14:textId="77777777" w:rsidR="005E55A0" w:rsidRPr="002141F4" w:rsidRDefault="005E55A0" w:rsidP="00F91B24">
            <w:pPr>
              <w:spacing w:line="360" w:lineRule="auto"/>
              <w:jc w:val="both"/>
              <w:rPr>
                <w:noProof/>
                <w:szCs w:val="22"/>
              </w:rPr>
            </w:pPr>
            <w:r w:rsidRPr="002141F4">
              <w:rPr>
                <w:noProof/>
                <w:szCs w:val="22"/>
              </w:rPr>
              <w:t>20 έως &lt; 24</w:t>
            </w:r>
          </w:p>
        </w:tc>
        <w:tc>
          <w:tcPr>
            <w:tcW w:w="1373" w:type="dxa"/>
            <w:vAlign w:val="center"/>
          </w:tcPr>
          <w:p w14:paraId="40AF7181" w14:textId="77777777" w:rsidR="005E55A0" w:rsidRPr="002141F4" w:rsidRDefault="005E55A0" w:rsidP="00F91B24">
            <w:pPr>
              <w:spacing w:line="360" w:lineRule="auto"/>
              <w:jc w:val="both"/>
              <w:rPr>
                <w:noProof/>
                <w:szCs w:val="22"/>
              </w:rPr>
            </w:pPr>
            <w:r w:rsidRPr="002141F4">
              <w:rPr>
                <w:noProof/>
                <w:szCs w:val="22"/>
              </w:rPr>
              <w:t>5 έως &lt; 6</w:t>
            </w:r>
          </w:p>
        </w:tc>
        <w:tc>
          <w:tcPr>
            <w:tcW w:w="1682" w:type="dxa"/>
            <w:vAlign w:val="center"/>
          </w:tcPr>
          <w:p w14:paraId="25A23ACE" w14:textId="77777777" w:rsidR="005E55A0" w:rsidRPr="002141F4" w:rsidRDefault="005E55A0" w:rsidP="00F91B24">
            <w:pPr>
              <w:spacing w:line="360" w:lineRule="auto"/>
              <w:jc w:val="both"/>
              <w:rPr>
                <w:noProof/>
                <w:szCs w:val="22"/>
              </w:rPr>
            </w:pPr>
            <w:r w:rsidRPr="002141F4">
              <w:rPr>
                <w:noProof/>
                <w:szCs w:val="22"/>
              </w:rPr>
              <w:t>300</w:t>
            </w:r>
          </w:p>
        </w:tc>
        <w:tc>
          <w:tcPr>
            <w:tcW w:w="1738" w:type="dxa"/>
            <w:vAlign w:val="center"/>
          </w:tcPr>
          <w:p w14:paraId="5BB6BB9D" w14:textId="77777777" w:rsidR="005E55A0" w:rsidRPr="002141F4" w:rsidRDefault="005E55A0" w:rsidP="00F91B24">
            <w:pPr>
              <w:spacing w:line="360" w:lineRule="auto"/>
              <w:jc w:val="both"/>
              <w:rPr>
                <w:noProof/>
                <w:szCs w:val="22"/>
              </w:rPr>
            </w:pPr>
            <w:r w:rsidRPr="002141F4">
              <w:rPr>
                <w:noProof/>
                <w:szCs w:val="22"/>
              </w:rPr>
              <w:t>12,5</w:t>
            </w:r>
          </w:p>
        </w:tc>
        <w:tc>
          <w:tcPr>
            <w:tcW w:w="1403" w:type="dxa"/>
            <w:vAlign w:val="center"/>
          </w:tcPr>
          <w:p w14:paraId="0C485A84" w14:textId="77777777" w:rsidR="005E55A0" w:rsidRPr="002141F4" w:rsidRDefault="005E55A0" w:rsidP="00F91B24">
            <w:pPr>
              <w:spacing w:line="360" w:lineRule="auto"/>
              <w:jc w:val="both"/>
              <w:rPr>
                <w:noProof/>
                <w:szCs w:val="22"/>
              </w:rPr>
            </w:pPr>
            <w:r w:rsidRPr="002141F4">
              <w:rPr>
                <w:noProof/>
                <w:szCs w:val="22"/>
              </w:rPr>
              <w:t>6</w:t>
            </w:r>
          </w:p>
        </w:tc>
        <w:tc>
          <w:tcPr>
            <w:tcW w:w="1987" w:type="dxa"/>
            <w:vAlign w:val="center"/>
          </w:tcPr>
          <w:p w14:paraId="4EC543AF" w14:textId="77777777" w:rsidR="005E55A0" w:rsidRPr="002141F4" w:rsidRDefault="005E55A0" w:rsidP="00F91B24">
            <w:pPr>
              <w:spacing w:line="360" w:lineRule="auto"/>
              <w:jc w:val="both"/>
              <w:rPr>
                <w:noProof/>
                <w:szCs w:val="22"/>
              </w:rPr>
            </w:pPr>
            <w:r w:rsidRPr="002141F4">
              <w:rPr>
                <w:noProof/>
                <w:szCs w:val="22"/>
              </w:rPr>
              <w:t>50</w:t>
            </w:r>
          </w:p>
          <w:p w14:paraId="00C2603A" w14:textId="21B08FA5" w:rsidR="005E55A0" w:rsidRPr="002141F4" w:rsidRDefault="005E55A0" w:rsidP="00F91B24">
            <w:pPr>
              <w:spacing w:line="360" w:lineRule="auto"/>
              <w:jc w:val="both"/>
              <w:rPr>
                <w:noProof/>
                <w:szCs w:val="22"/>
              </w:rPr>
            </w:pPr>
            <w:r w:rsidRPr="002141F4">
              <w:rPr>
                <w:noProof/>
                <w:szCs w:val="22"/>
              </w:rPr>
              <w:t>(1200 mg)</w:t>
            </w:r>
          </w:p>
        </w:tc>
      </w:tr>
      <w:tr w:rsidR="00782717" w:rsidRPr="002141F4" w14:paraId="7AEB7168" w14:textId="77777777" w:rsidTr="00C638CC">
        <w:trPr>
          <w:trHeight w:val="694"/>
        </w:trPr>
        <w:tc>
          <w:tcPr>
            <w:tcW w:w="1315" w:type="dxa"/>
            <w:vAlign w:val="center"/>
          </w:tcPr>
          <w:p w14:paraId="58B81AF8" w14:textId="77777777" w:rsidR="005E55A0" w:rsidRPr="002141F4" w:rsidRDefault="005E55A0" w:rsidP="00F91B24">
            <w:pPr>
              <w:spacing w:line="360" w:lineRule="auto"/>
              <w:jc w:val="both"/>
              <w:rPr>
                <w:noProof/>
                <w:szCs w:val="22"/>
              </w:rPr>
            </w:pPr>
            <w:r w:rsidRPr="002141F4">
              <w:rPr>
                <w:noProof/>
                <w:szCs w:val="22"/>
              </w:rPr>
              <w:t>24 έως ≤ 28</w:t>
            </w:r>
          </w:p>
        </w:tc>
        <w:tc>
          <w:tcPr>
            <w:tcW w:w="1373" w:type="dxa"/>
            <w:vAlign w:val="center"/>
          </w:tcPr>
          <w:p w14:paraId="29EF8F8F" w14:textId="77777777" w:rsidR="005E55A0" w:rsidRPr="002141F4" w:rsidRDefault="005E55A0" w:rsidP="00F91B24">
            <w:pPr>
              <w:spacing w:line="360" w:lineRule="auto"/>
              <w:jc w:val="both"/>
              <w:rPr>
                <w:noProof/>
                <w:szCs w:val="22"/>
              </w:rPr>
            </w:pPr>
            <w:r w:rsidRPr="002141F4">
              <w:rPr>
                <w:noProof/>
                <w:szCs w:val="22"/>
              </w:rPr>
              <w:t>6 έως ≤ 8</w:t>
            </w:r>
          </w:p>
        </w:tc>
        <w:tc>
          <w:tcPr>
            <w:tcW w:w="1682" w:type="dxa"/>
            <w:vAlign w:val="center"/>
          </w:tcPr>
          <w:p w14:paraId="66633744" w14:textId="77777777" w:rsidR="005E55A0" w:rsidRPr="002141F4" w:rsidRDefault="005E55A0" w:rsidP="00F91B24">
            <w:pPr>
              <w:spacing w:line="360" w:lineRule="auto"/>
              <w:jc w:val="both"/>
              <w:rPr>
                <w:noProof/>
                <w:szCs w:val="22"/>
              </w:rPr>
            </w:pPr>
            <w:r w:rsidRPr="002141F4">
              <w:rPr>
                <w:noProof/>
                <w:szCs w:val="22"/>
              </w:rPr>
              <w:t>360</w:t>
            </w:r>
          </w:p>
        </w:tc>
        <w:tc>
          <w:tcPr>
            <w:tcW w:w="1738" w:type="dxa"/>
            <w:vAlign w:val="center"/>
          </w:tcPr>
          <w:p w14:paraId="074C0F23" w14:textId="77777777" w:rsidR="005E55A0" w:rsidRPr="002141F4" w:rsidRDefault="005E55A0" w:rsidP="00F91B24">
            <w:pPr>
              <w:spacing w:line="360" w:lineRule="auto"/>
              <w:jc w:val="both"/>
              <w:rPr>
                <w:noProof/>
                <w:szCs w:val="22"/>
              </w:rPr>
            </w:pPr>
            <w:r w:rsidRPr="002141F4">
              <w:rPr>
                <w:noProof/>
                <w:szCs w:val="22"/>
              </w:rPr>
              <w:t>15</w:t>
            </w:r>
          </w:p>
        </w:tc>
        <w:tc>
          <w:tcPr>
            <w:tcW w:w="1403" w:type="dxa"/>
            <w:vAlign w:val="center"/>
          </w:tcPr>
          <w:p w14:paraId="0BED669E" w14:textId="77777777" w:rsidR="005E55A0" w:rsidRPr="002141F4" w:rsidRDefault="005E55A0" w:rsidP="00F91B24">
            <w:pPr>
              <w:spacing w:line="360" w:lineRule="auto"/>
              <w:jc w:val="both"/>
              <w:rPr>
                <w:noProof/>
                <w:szCs w:val="22"/>
              </w:rPr>
            </w:pPr>
            <w:r w:rsidRPr="002141F4">
              <w:rPr>
                <w:noProof/>
                <w:szCs w:val="22"/>
              </w:rPr>
              <w:t>6</w:t>
            </w:r>
          </w:p>
        </w:tc>
        <w:tc>
          <w:tcPr>
            <w:tcW w:w="1987" w:type="dxa"/>
            <w:vAlign w:val="center"/>
          </w:tcPr>
          <w:p w14:paraId="2D867804" w14:textId="77777777" w:rsidR="005E55A0" w:rsidRPr="002141F4" w:rsidRDefault="005E55A0" w:rsidP="00F91B24">
            <w:pPr>
              <w:spacing w:line="360" w:lineRule="auto"/>
              <w:jc w:val="both"/>
              <w:rPr>
                <w:noProof/>
                <w:szCs w:val="22"/>
              </w:rPr>
            </w:pPr>
            <w:r w:rsidRPr="002141F4">
              <w:rPr>
                <w:noProof/>
                <w:szCs w:val="22"/>
              </w:rPr>
              <w:t>60</w:t>
            </w:r>
          </w:p>
          <w:p w14:paraId="1AB70946" w14:textId="0D836BAA" w:rsidR="005E55A0" w:rsidRPr="002141F4" w:rsidRDefault="005E55A0" w:rsidP="00F91B24">
            <w:pPr>
              <w:spacing w:line="360" w:lineRule="auto"/>
              <w:jc w:val="both"/>
              <w:rPr>
                <w:noProof/>
                <w:szCs w:val="22"/>
              </w:rPr>
            </w:pPr>
            <w:r w:rsidRPr="002141F4">
              <w:rPr>
                <w:noProof/>
                <w:szCs w:val="22"/>
              </w:rPr>
              <w:t>(1440 mg)</w:t>
            </w:r>
          </w:p>
        </w:tc>
      </w:tr>
    </w:tbl>
    <w:p w14:paraId="356A9EB7" w14:textId="77777777" w:rsidR="005E55A0" w:rsidRPr="002141F4" w:rsidRDefault="005E55A0" w:rsidP="00FF6CD5">
      <w:pPr>
        <w:spacing w:line="360" w:lineRule="auto"/>
        <w:rPr>
          <w:noProof/>
          <w:szCs w:val="22"/>
        </w:rPr>
      </w:pPr>
      <w:r w:rsidRPr="002141F4">
        <w:rPr>
          <w:noProof/>
          <w:szCs w:val="22"/>
        </w:rPr>
        <w:t>*Τα κατά προσέγγιση ηλικιακά εύρη σε σχέση με το σωματικό βάρος δίνονται για καθοδήγηση μόνο. Να χρησιμοποιείτε τις ηλικίες βάσει των πρότυπων τοπικών καμπυλών ανάπτυξης.</w:t>
      </w:r>
    </w:p>
    <w:p w14:paraId="565796BD" w14:textId="77777777" w:rsidR="001C6019" w:rsidRPr="002141F4" w:rsidRDefault="001C6019" w:rsidP="00FF6CD5">
      <w:pPr>
        <w:spacing w:line="360" w:lineRule="auto"/>
        <w:rPr>
          <w:noProof/>
          <w:szCs w:val="22"/>
          <w:u w:val="single"/>
        </w:rPr>
      </w:pPr>
    </w:p>
    <w:p w14:paraId="793EBCB4" w14:textId="77777777" w:rsidR="001C6019" w:rsidRPr="002141F4" w:rsidRDefault="001C6019" w:rsidP="00FF6CD5">
      <w:pPr>
        <w:spacing w:line="360" w:lineRule="auto"/>
        <w:rPr>
          <w:noProof/>
          <w:szCs w:val="22"/>
        </w:rPr>
      </w:pPr>
      <w:r w:rsidRPr="002141F4">
        <w:rPr>
          <w:noProof/>
          <w:szCs w:val="22"/>
          <w:u w:val="single"/>
        </w:rPr>
        <w:t>Παιδιά 8-12 ετών:</w:t>
      </w:r>
      <w:r w:rsidRPr="002141F4">
        <w:rPr>
          <w:noProof/>
          <w:szCs w:val="22"/>
        </w:rPr>
        <w:t xml:space="preserve"> 250-500 </w:t>
      </w:r>
      <w:r w:rsidRPr="006142E0">
        <w:rPr>
          <w:szCs w:val="22"/>
          <w:lang w:val="en-US"/>
        </w:rPr>
        <w:t>mg</w:t>
      </w:r>
      <w:r w:rsidRPr="002141F4">
        <w:rPr>
          <w:noProof/>
          <w:szCs w:val="22"/>
        </w:rPr>
        <w:t xml:space="preserve"> ή 10-15 </w:t>
      </w:r>
      <w:r w:rsidRPr="006142E0">
        <w:rPr>
          <w:szCs w:val="22"/>
          <w:lang w:val="en-US"/>
        </w:rPr>
        <w:t>mg</w:t>
      </w:r>
      <w:r w:rsidRPr="002141F4">
        <w:rPr>
          <w:noProof/>
          <w:szCs w:val="22"/>
        </w:rPr>
        <w:t>/</w:t>
      </w:r>
      <w:r w:rsidRPr="006142E0">
        <w:rPr>
          <w:szCs w:val="22"/>
          <w:lang w:val="en-US"/>
        </w:rPr>
        <w:t>kg</w:t>
      </w:r>
      <w:r w:rsidRPr="002141F4">
        <w:rPr>
          <w:noProof/>
          <w:szCs w:val="22"/>
        </w:rPr>
        <w:t xml:space="preserve"> Β</w:t>
      </w:r>
      <w:r w:rsidRPr="007A3A38">
        <w:rPr>
          <w:noProof/>
          <w:szCs w:val="22"/>
        </w:rPr>
        <w:t>Σ</w:t>
      </w:r>
      <w:r w:rsidR="007E1266">
        <w:rPr>
          <w:noProof/>
          <w:szCs w:val="22"/>
        </w:rPr>
        <w:t xml:space="preserve"> (βάρους σώματος)</w:t>
      </w:r>
      <w:r w:rsidRPr="002141F4">
        <w:rPr>
          <w:noProof/>
          <w:szCs w:val="22"/>
        </w:rPr>
        <w:t>, 3-4 φορές ημερησίως</w:t>
      </w:r>
      <w:r w:rsidR="00805DFB" w:rsidRPr="002141F4">
        <w:rPr>
          <w:noProof/>
          <w:szCs w:val="22"/>
        </w:rPr>
        <w:t>.</w:t>
      </w:r>
    </w:p>
    <w:p w14:paraId="76DA42BE" w14:textId="77777777" w:rsidR="001C6019" w:rsidRPr="002141F4" w:rsidRDefault="001C6019" w:rsidP="00F91B24">
      <w:pPr>
        <w:spacing w:line="360" w:lineRule="auto"/>
        <w:jc w:val="both"/>
        <w:rPr>
          <w:noProof/>
          <w:szCs w:val="22"/>
          <w:u w:val="single"/>
        </w:rPr>
      </w:pPr>
    </w:p>
    <w:p w14:paraId="2E3F6EE2" w14:textId="666AB089" w:rsidR="005E55A0" w:rsidRPr="006F3806" w:rsidRDefault="005E55A0" w:rsidP="00FF6CD5">
      <w:pPr>
        <w:spacing w:line="360" w:lineRule="auto"/>
        <w:rPr>
          <w:bCs/>
          <w:iCs/>
          <w:noProof/>
          <w:szCs w:val="22"/>
        </w:rPr>
      </w:pPr>
      <w:r w:rsidRPr="002141F4">
        <w:rPr>
          <w:noProof/>
          <w:szCs w:val="22"/>
        </w:rPr>
        <w:t xml:space="preserve">Για </w:t>
      </w:r>
      <w:r w:rsidR="00FB4361">
        <w:rPr>
          <w:noProof/>
          <w:szCs w:val="22"/>
        </w:rPr>
        <w:t>τους εφήβους</w:t>
      </w:r>
      <w:r w:rsidRPr="002141F4">
        <w:rPr>
          <w:noProof/>
          <w:szCs w:val="22"/>
        </w:rPr>
        <w:t xml:space="preserve"> ηλικίας 12</w:t>
      </w:r>
      <w:r w:rsidR="00FB4361">
        <w:rPr>
          <w:noProof/>
          <w:szCs w:val="22"/>
        </w:rPr>
        <w:t>-18</w:t>
      </w:r>
      <w:r w:rsidRPr="002141F4">
        <w:rPr>
          <w:noProof/>
          <w:szCs w:val="22"/>
        </w:rPr>
        <w:t xml:space="preserve"> ετών </w:t>
      </w:r>
      <w:r w:rsidR="00FB4361">
        <w:rPr>
          <w:noProof/>
          <w:szCs w:val="22"/>
        </w:rPr>
        <w:t xml:space="preserve">και τους ενήλικες </w:t>
      </w:r>
      <w:r w:rsidRPr="002141F4">
        <w:rPr>
          <w:noProof/>
          <w:szCs w:val="22"/>
        </w:rPr>
        <w:t>διατίθενται εναλλακτικές φαρμακοτεχνικές μορφές και δοσολογίες</w:t>
      </w:r>
      <w:r w:rsidRPr="002141F4">
        <w:rPr>
          <w:bCs/>
          <w:iCs/>
          <w:noProof/>
          <w:szCs w:val="22"/>
        </w:rPr>
        <w:t>.</w:t>
      </w:r>
    </w:p>
    <w:p w14:paraId="1C0CB9A1" w14:textId="77777777" w:rsidR="00C247DF" w:rsidRPr="002141F4" w:rsidRDefault="00C247DF" w:rsidP="00FF6CD5">
      <w:pPr>
        <w:widowControl/>
        <w:spacing w:line="360" w:lineRule="auto"/>
        <w:rPr>
          <w:b/>
          <w:snapToGrid w:val="0"/>
          <w:szCs w:val="22"/>
        </w:rPr>
      </w:pPr>
    </w:p>
    <w:p w14:paraId="2F3A09DD" w14:textId="77777777" w:rsidR="00AA54AB" w:rsidRPr="002141F4" w:rsidRDefault="00AA54AB" w:rsidP="00FF6CD5">
      <w:pPr>
        <w:widowControl/>
        <w:spacing w:line="360" w:lineRule="auto"/>
        <w:rPr>
          <w:snapToGrid w:val="0"/>
          <w:szCs w:val="22"/>
        </w:rPr>
      </w:pPr>
      <w:r w:rsidRPr="002141F4">
        <w:rPr>
          <w:b/>
          <w:snapToGrid w:val="0"/>
          <w:szCs w:val="22"/>
        </w:rPr>
        <w:t>Νεφρική δυσλειτουργία</w:t>
      </w:r>
    </w:p>
    <w:p w14:paraId="60993BD9" w14:textId="77777777" w:rsidR="00AA54AB" w:rsidRPr="002141F4" w:rsidRDefault="00AA54AB" w:rsidP="00FF6CD5">
      <w:pPr>
        <w:widowControl/>
        <w:spacing w:line="360" w:lineRule="auto"/>
        <w:rPr>
          <w:snapToGrid w:val="0"/>
          <w:szCs w:val="22"/>
        </w:rPr>
      </w:pPr>
      <w:r w:rsidRPr="002141F4">
        <w:rPr>
          <w:snapToGrid w:val="0"/>
          <w:szCs w:val="22"/>
        </w:rPr>
        <w:t xml:space="preserve">Το </w:t>
      </w:r>
      <w:r w:rsidRPr="002141F4">
        <w:rPr>
          <w:snapToGrid w:val="0"/>
          <w:szCs w:val="22"/>
          <w:lang w:val="en-US"/>
        </w:rPr>
        <w:t>Panadol</w:t>
      </w:r>
      <w:r w:rsidRPr="002141F4">
        <w:rPr>
          <w:snapToGrid w:val="0"/>
          <w:szCs w:val="22"/>
        </w:rPr>
        <w:t xml:space="preserve"> αντενδείκνυται σε ασθενείς με νεφρική ανεπάρκεια. </w:t>
      </w:r>
    </w:p>
    <w:p w14:paraId="7199E87E" w14:textId="77777777" w:rsidR="00AA54AB" w:rsidRPr="002141F4" w:rsidRDefault="00AA54AB" w:rsidP="00FF6CD5">
      <w:pPr>
        <w:widowControl/>
        <w:spacing w:line="360" w:lineRule="auto"/>
        <w:rPr>
          <w:snapToGrid w:val="0"/>
          <w:szCs w:val="22"/>
        </w:rPr>
      </w:pPr>
    </w:p>
    <w:p w14:paraId="387922DC" w14:textId="77777777" w:rsidR="00AA54AB" w:rsidRPr="002141F4" w:rsidRDefault="00AA54AB" w:rsidP="00FF6CD5">
      <w:pPr>
        <w:widowControl/>
        <w:spacing w:line="360" w:lineRule="auto"/>
        <w:rPr>
          <w:snapToGrid w:val="0"/>
          <w:szCs w:val="22"/>
        </w:rPr>
      </w:pPr>
      <w:r w:rsidRPr="002141F4">
        <w:rPr>
          <w:snapToGrid w:val="0"/>
          <w:szCs w:val="22"/>
        </w:rPr>
        <w:t xml:space="preserve">Σε ασθενείς με σοβαρή νεφρική δυσλειτουργία, το ελάχιστο διάστημα μεταξύ κάθε από στόματος χορήγησης </w:t>
      </w:r>
      <w:r w:rsidRPr="002141F4">
        <w:rPr>
          <w:snapToGrid w:val="0"/>
          <w:szCs w:val="22"/>
          <w:lang w:val="en-US"/>
        </w:rPr>
        <w:t>Panadol</w:t>
      </w:r>
      <w:r w:rsidRPr="002141F4">
        <w:rPr>
          <w:snapToGrid w:val="0"/>
          <w:szCs w:val="22"/>
        </w:rPr>
        <w:t xml:space="preserve"> πρέπει να τροποποιείται σύμφωνα με το ακόλουθο σχήμα: </w:t>
      </w:r>
    </w:p>
    <w:p w14:paraId="1A3B19C8" w14:textId="77777777" w:rsidR="00AA54AB" w:rsidRPr="002141F4" w:rsidRDefault="00AA54AB" w:rsidP="00FF6CD5">
      <w:pPr>
        <w:widowControl/>
        <w:spacing w:line="360" w:lineRule="auto"/>
        <w:rPr>
          <w:snapToGrid w:val="0"/>
          <w:szCs w:val="22"/>
        </w:rPr>
      </w:pPr>
    </w:p>
    <w:tbl>
      <w:tblPr>
        <w:tblW w:w="5393" w:type="dxa"/>
        <w:tblLook w:val="04A0" w:firstRow="1" w:lastRow="0" w:firstColumn="1" w:lastColumn="0" w:noHBand="0" w:noVBand="1"/>
      </w:tblPr>
      <w:tblGrid>
        <w:gridCol w:w="2346"/>
        <w:gridCol w:w="3047"/>
      </w:tblGrid>
      <w:tr w:rsidR="00AA54AB" w:rsidRPr="002141F4" w14:paraId="31B33DBF" w14:textId="77777777" w:rsidTr="00E30D83">
        <w:trPr>
          <w:trHeight w:val="250"/>
        </w:trPr>
        <w:tc>
          <w:tcPr>
            <w:tcW w:w="0" w:type="auto"/>
            <w:tcBorders>
              <w:top w:val="single" w:sz="8" w:space="0" w:color="000000"/>
              <w:left w:val="nil"/>
              <w:bottom w:val="single" w:sz="8" w:space="0" w:color="000000"/>
              <w:right w:val="nil"/>
            </w:tcBorders>
            <w:hideMark/>
          </w:tcPr>
          <w:p w14:paraId="6858C88C" w14:textId="77777777" w:rsidR="00AA54AB" w:rsidRPr="002141F4" w:rsidRDefault="00AA54AB" w:rsidP="00FF6CD5">
            <w:pPr>
              <w:autoSpaceDE w:val="0"/>
              <w:autoSpaceDN w:val="0"/>
              <w:adjustRightInd w:val="0"/>
              <w:spacing w:line="360" w:lineRule="auto"/>
              <w:rPr>
                <w:b/>
                <w:szCs w:val="22"/>
                <w:lang w:eastAsia="fr-BE"/>
              </w:rPr>
            </w:pPr>
            <w:r w:rsidRPr="002141F4">
              <w:rPr>
                <w:b/>
                <w:iCs/>
                <w:szCs w:val="22"/>
                <w:lang w:eastAsia="fr-BE"/>
              </w:rPr>
              <w:t>Κάθαρση Κρεατινίνης</w:t>
            </w:r>
          </w:p>
        </w:tc>
        <w:tc>
          <w:tcPr>
            <w:tcW w:w="0" w:type="auto"/>
            <w:tcBorders>
              <w:top w:val="single" w:sz="8" w:space="0" w:color="000000"/>
              <w:left w:val="nil"/>
              <w:bottom w:val="single" w:sz="8" w:space="0" w:color="000000"/>
              <w:right w:val="nil"/>
            </w:tcBorders>
            <w:hideMark/>
          </w:tcPr>
          <w:p w14:paraId="31129A39" w14:textId="77777777" w:rsidR="00AA54AB" w:rsidRPr="002141F4" w:rsidRDefault="00AA54AB" w:rsidP="00FF6CD5">
            <w:pPr>
              <w:autoSpaceDE w:val="0"/>
              <w:autoSpaceDN w:val="0"/>
              <w:adjustRightInd w:val="0"/>
              <w:spacing w:line="360" w:lineRule="auto"/>
              <w:rPr>
                <w:b/>
                <w:szCs w:val="22"/>
                <w:lang w:eastAsia="fr-BE"/>
              </w:rPr>
            </w:pPr>
            <w:r w:rsidRPr="002141F4">
              <w:rPr>
                <w:b/>
                <w:iCs/>
                <w:szCs w:val="22"/>
                <w:lang w:eastAsia="fr-BE"/>
              </w:rPr>
              <w:t>Διάστημα μεταξύ των δόσεων</w:t>
            </w:r>
          </w:p>
        </w:tc>
      </w:tr>
      <w:tr w:rsidR="00AA54AB" w:rsidRPr="002141F4" w14:paraId="6D634102" w14:textId="77777777" w:rsidTr="00E30D83">
        <w:trPr>
          <w:trHeight w:val="248"/>
        </w:trPr>
        <w:tc>
          <w:tcPr>
            <w:tcW w:w="0" w:type="auto"/>
            <w:hideMark/>
          </w:tcPr>
          <w:p w14:paraId="44549557" w14:textId="77777777" w:rsidR="00AA54AB" w:rsidRPr="00E477B5" w:rsidRDefault="00AA54AB" w:rsidP="00FF6CD5">
            <w:pPr>
              <w:autoSpaceDE w:val="0"/>
              <w:autoSpaceDN w:val="0"/>
              <w:adjustRightInd w:val="0"/>
              <w:spacing w:line="360" w:lineRule="auto"/>
              <w:rPr>
                <w:szCs w:val="22"/>
                <w:lang w:val="de-DE" w:eastAsia="fr-BE"/>
              </w:rPr>
            </w:pPr>
            <w:r w:rsidRPr="00E477B5">
              <w:rPr>
                <w:szCs w:val="22"/>
                <w:lang w:val="de-DE" w:eastAsia="fr-BE"/>
              </w:rPr>
              <w:t>CL ≥ 50 mL/min</w:t>
            </w:r>
          </w:p>
          <w:p w14:paraId="7BF1F2FC" w14:textId="77777777" w:rsidR="00AA54AB" w:rsidRPr="00E477B5" w:rsidRDefault="00AA54AB" w:rsidP="00FF6CD5">
            <w:pPr>
              <w:autoSpaceDE w:val="0"/>
              <w:autoSpaceDN w:val="0"/>
              <w:adjustRightInd w:val="0"/>
              <w:spacing w:line="360" w:lineRule="auto"/>
              <w:rPr>
                <w:szCs w:val="22"/>
                <w:lang w:val="de-DE" w:eastAsia="fr-BE"/>
              </w:rPr>
            </w:pPr>
            <w:r w:rsidRPr="00E477B5">
              <w:rPr>
                <w:szCs w:val="22"/>
                <w:lang w:val="de-DE" w:eastAsia="fr-BE"/>
              </w:rPr>
              <w:t>CL 10</w:t>
            </w:r>
            <w:r w:rsidRPr="00E477B5">
              <w:rPr>
                <w:szCs w:val="22"/>
                <w:lang w:val="de-DE" w:eastAsia="fr-BE"/>
              </w:rPr>
              <w:noBreakHyphen/>
              <w:t>50 mL/min</w:t>
            </w:r>
          </w:p>
          <w:p w14:paraId="0C039939" w14:textId="77777777" w:rsidR="00AA54AB" w:rsidRPr="002141F4" w:rsidRDefault="00AA54AB" w:rsidP="00FF6CD5">
            <w:pPr>
              <w:autoSpaceDE w:val="0"/>
              <w:autoSpaceDN w:val="0"/>
              <w:adjustRightInd w:val="0"/>
              <w:spacing w:line="360" w:lineRule="auto"/>
              <w:rPr>
                <w:szCs w:val="22"/>
                <w:lang w:val="en-AU" w:eastAsia="fr-BE"/>
              </w:rPr>
            </w:pPr>
            <w:r w:rsidRPr="002141F4">
              <w:rPr>
                <w:szCs w:val="22"/>
                <w:lang w:val="en-AU" w:eastAsia="fr-BE"/>
              </w:rPr>
              <w:t>CL &lt; 10 mL/min</w:t>
            </w:r>
          </w:p>
        </w:tc>
        <w:tc>
          <w:tcPr>
            <w:tcW w:w="0" w:type="auto"/>
            <w:hideMark/>
          </w:tcPr>
          <w:p w14:paraId="0119D3F0" w14:textId="77777777" w:rsidR="00AA54AB" w:rsidRPr="002141F4" w:rsidRDefault="00AA54AB" w:rsidP="00FF6CD5">
            <w:pPr>
              <w:autoSpaceDE w:val="0"/>
              <w:autoSpaceDN w:val="0"/>
              <w:adjustRightInd w:val="0"/>
              <w:spacing w:line="360" w:lineRule="auto"/>
              <w:rPr>
                <w:szCs w:val="22"/>
                <w:lang w:eastAsia="fr-BE"/>
              </w:rPr>
            </w:pPr>
            <w:r w:rsidRPr="002141F4">
              <w:rPr>
                <w:szCs w:val="22"/>
                <w:lang w:eastAsia="fr-BE"/>
              </w:rPr>
              <w:t>4 ώρες</w:t>
            </w:r>
          </w:p>
          <w:p w14:paraId="56E44274" w14:textId="77777777" w:rsidR="00AA54AB" w:rsidRPr="002141F4" w:rsidRDefault="00AA54AB" w:rsidP="00FF6CD5">
            <w:pPr>
              <w:autoSpaceDE w:val="0"/>
              <w:autoSpaceDN w:val="0"/>
              <w:adjustRightInd w:val="0"/>
              <w:spacing w:line="360" w:lineRule="auto"/>
              <w:rPr>
                <w:szCs w:val="22"/>
                <w:lang w:eastAsia="fr-BE"/>
              </w:rPr>
            </w:pPr>
            <w:r w:rsidRPr="002141F4">
              <w:rPr>
                <w:szCs w:val="22"/>
                <w:lang w:eastAsia="fr-BE"/>
              </w:rPr>
              <w:t>6 ώρες</w:t>
            </w:r>
          </w:p>
          <w:p w14:paraId="0DD632B0" w14:textId="77777777" w:rsidR="00AA54AB" w:rsidRPr="002141F4" w:rsidRDefault="00AA54AB" w:rsidP="00FF6CD5">
            <w:pPr>
              <w:autoSpaceDE w:val="0"/>
              <w:autoSpaceDN w:val="0"/>
              <w:adjustRightInd w:val="0"/>
              <w:spacing w:line="360" w:lineRule="auto"/>
              <w:rPr>
                <w:szCs w:val="22"/>
                <w:lang w:eastAsia="fr-BE"/>
              </w:rPr>
            </w:pPr>
            <w:r w:rsidRPr="002141F4">
              <w:rPr>
                <w:szCs w:val="22"/>
                <w:lang w:eastAsia="fr-BE"/>
              </w:rPr>
              <w:t>8 ώρες</w:t>
            </w:r>
          </w:p>
        </w:tc>
      </w:tr>
      <w:tr w:rsidR="00AA54AB" w:rsidRPr="002141F4" w14:paraId="35CB0825" w14:textId="77777777" w:rsidTr="00E30D83">
        <w:trPr>
          <w:trHeight w:val="55"/>
        </w:trPr>
        <w:tc>
          <w:tcPr>
            <w:tcW w:w="0" w:type="auto"/>
            <w:tcBorders>
              <w:bottom w:val="single" w:sz="8" w:space="0" w:color="000000"/>
            </w:tcBorders>
            <w:hideMark/>
          </w:tcPr>
          <w:p w14:paraId="13C1D6FA" w14:textId="77777777" w:rsidR="00AA54AB" w:rsidRPr="002141F4" w:rsidRDefault="00AA54AB" w:rsidP="00FF6CD5">
            <w:pPr>
              <w:autoSpaceDE w:val="0"/>
              <w:autoSpaceDN w:val="0"/>
              <w:adjustRightInd w:val="0"/>
              <w:spacing w:line="360" w:lineRule="auto"/>
              <w:rPr>
                <w:szCs w:val="22"/>
                <w:lang w:eastAsia="fr-BE"/>
              </w:rPr>
            </w:pPr>
          </w:p>
        </w:tc>
        <w:tc>
          <w:tcPr>
            <w:tcW w:w="0" w:type="auto"/>
            <w:tcBorders>
              <w:bottom w:val="single" w:sz="8" w:space="0" w:color="000000"/>
            </w:tcBorders>
            <w:hideMark/>
          </w:tcPr>
          <w:p w14:paraId="0E60E201" w14:textId="77777777" w:rsidR="00AA54AB" w:rsidRPr="002141F4" w:rsidRDefault="00AA54AB" w:rsidP="00FF6CD5">
            <w:pPr>
              <w:autoSpaceDE w:val="0"/>
              <w:autoSpaceDN w:val="0"/>
              <w:adjustRightInd w:val="0"/>
              <w:spacing w:line="360" w:lineRule="auto"/>
              <w:rPr>
                <w:szCs w:val="22"/>
                <w:lang w:eastAsia="fr-BE"/>
              </w:rPr>
            </w:pPr>
          </w:p>
        </w:tc>
      </w:tr>
    </w:tbl>
    <w:p w14:paraId="49044DBB" w14:textId="77777777" w:rsidR="00AA54AB" w:rsidRPr="002141F4" w:rsidRDefault="00AA54AB" w:rsidP="00FF6CD5">
      <w:pPr>
        <w:widowControl/>
        <w:spacing w:line="360" w:lineRule="auto"/>
        <w:rPr>
          <w:snapToGrid w:val="0"/>
          <w:szCs w:val="22"/>
          <w:lang w:val="en-US"/>
        </w:rPr>
      </w:pPr>
    </w:p>
    <w:p w14:paraId="4526D40D" w14:textId="77777777" w:rsidR="00AA54AB" w:rsidRPr="002141F4" w:rsidRDefault="00AA54AB" w:rsidP="00FF6CD5">
      <w:pPr>
        <w:widowControl/>
        <w:spacing w:line="360" w:lineRule="auto"/>
        <w:rPr>
          <w:snapToGrid w:val="0"/>
          <w:szCs w:val="22"/>
        </w:rPr>
      </w:pPr>
      <w:r w:rsidRPr="002141F4">
        <w:rPr>
          <w:snapToGrid w:val="0"/>
          <w:szCs w:val="22"/>
          <w:lang w:val="en-US"/>
        </w:rPr>
        <w:t>B</w:t>
      </w:r>
      <w:r w:rsidRPr="002141F4">
        <w:rPr>
          <w:snapToGrid w:val="0"/>
          <w:szCs w:val="22"/>
        </w:rPr>
        <w:t xml:space="preserve">λ. επίσης παράγραφο 5.2 </w:t>
      </w:r>
      <w:r w:rsidR="00903AAD">
        <w:rPr>
          <w:snapToGrid w:val="0"/>
          <w:szCs w:val="22"/>
        </w:rPr>
        <w:t>(</w:t>
      </w:r>
      <w:r w:rsidRPr="002141F4">
        <w:rPr>
          <w:snapToGrid w:val="0"/>
          <w:szCs w:val="22"/>
        </w:rPr>
        <w:t>Φαρμακοκινητικές ιδιότητες, Ειδικοί πληθυσμοί, Νεφρική δυσλειτουργία</w:t>
      </w:r>
      <w:r w:rsidR="00903AAD">
        <w:rPr>
          <w:snapToGrid w:val="0"/>
          <w:szCs w:val="22"/>
        </w:rPr>
        <w:t>)</w:t>
      </w:r>
      <w:r w:rsidRPr="002141F4">
        <w:rPr>
          <w:snapToGrid w:val="0"/>
          <w:szCs w:val="22"/>
        </w:rPr>
        <w:t>.</w:t>
      </w:r>
    </w:p>
    <w:p w14:paraId="7DA1DDBF" w14:textId="77777777" w:rsidR="00AA54AB" w:rsidRPr="002141F4" w:rsidRDefault="00AA54AB" w:rsidP="00FF6CD5">
      <w:pPr>
        <w:widowControl/>
        <w:spacing w:line="360" w:lineRule="auto"/>
        <w:rPr>
          <w:b/>
          <w:snapToGrid w:val="0"/>
          <w:szCs w:val="22"/>
        </w:rPr>
      </w:pPr>
    </w:p>
    <w:p w14:paraId="45C4DF39" w14:textId="77777777" w:rsidR="00AA54AB" w:rsidRPr="002141F4" w:rsidRDefault="00AA54AB" w:rsidP="00FF6CD5">
      <w:pPr>
        <w:widowControl/>
        <w:spacing w:line="360" w:lineRule="auto"/>
        <w:rPr>
          <w:snapToGrid w:val="0"/>
          <w:szCs w:val="22"/>
        </w:rPr>
      </w:pPr>
      <w:r w:rsidRPr="002141F4">
        <w:rPr>
          <w:b/>
          <w:snapToGrid w:val="0"/>
          <w:szCs w:val="22"/>
        </w:rPr>
        <w:t>Ηπατική δυσλειτουργία</w:t>
      </w:r>
    </w:p>
    <w:p w14:paraId="2CB46AD8" w14:textId="260372A7" w:rsidR="008C4690" w:rsidRPr="002141F4" w:rsidRDefault="00AA54AB" w:rsidP="00FF6CD5">
      <w:pPr>
        <w:widowControl/>
        <w:spacing w:line="360" w:lineRule="auto"/>
        <w:rPr>
          <w:snapToGrid w:val="0"/>
          <w:szCs w:val="22"/>
        </w:rPr>
      </w:pPr>
      <w:r w:rsidRPr="002141F4">
        <w:rPr>
          <w:snapToGrid w:val="0"/>
          <w:szCs w:val="22"/>
        </w:rPr>
        <w:t>Σε ασθενείς με διαταραγμένη ηπατική λειτουργία πρέπει να μειωθεί η δόση ή να παραταθεί το δοσολογικό μεσοδιάστημα. Η μέγιστη ημερήσια δόση δε</w:t>
      </w:r>
      <w:r w:rsidR="009C5580">
        <w:rPr>
          <w:snapToGrid w:val="0"/>
          <w:szCs w:val="22"/>
        </w:rPr>
        <w:t>ν</w:t>
      </w:r>
      <w:r w:rsidRPr="002141F4">
        <w:rPr>
          <w:snapToGrid w:val="0"/>
          <w:szCs w:val="22"/>
        </w:rPr>
        <w:t xml:space="preserve"> θα πρέπει να υπερβαίνει τα 60 </w:t>
      </w:r>
      <w:r w:rsidRPr="002141F4">
        <w:rPr>
          <w:snapToGrid w:val="0"/>
          <w:szCs w:val="22"/>
          <w:lang w:val="en-US"/>
        </w:rPr>
        <w:t>mg</w:t>
      </w:r>
      <w:r w:rsidRPr="002141F4">
        <w:rPr>
          <w:snapToGrid w:val="0"/>
          <w:szCs w:val="22"/>
        </w:rPr>
        <w:t>/</w:t>
      </w:r>
      <w:r w:rsidRPr="002141F4">
        <w:rPr>
          <w:snapToGrid w:val="0"/>
          <w:szCs w:val="22"/>
          <w:lang w:val="en-US"/>
        </w:rPr>
        <w:t>kg</w:t>
      </w:r>
      <w:r w:rsidRPr="002141F4">
        <w:rPr>
          <w:snapToGrid w:val="0"/>
          <w:szCs w:val="22"/>
        </w:rPr>
        <w:t xml:space="preserve">/ημέρα (να μην υπερβαίνονται τα 2 </w:t>
      </w:r>
      <w:r w:rsidRPr="002141F4">
        <w:rPr>
          <w:snapToGrid w:val="0"/>
          <w:szCs w:val="22"/>
          <w:lang w:val="en-US"/>
        </w:rPr>
        <w:t>g</w:t>
      </w:r>
      <w:r w:rsidRPr="002141F4">
        <w:rPr>
          <w:snapToGrid w:val="0"/>
          <w:szCs w:val="22"/>
        </w:rPr>
        <w:t>/ημέρα) στις ακόλουθες περιπτώσεις:</w:t>
      </w:r>
    </w:p>
    <w:p w14:paraId="2073B1D8"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 xml:space="preserve">ενηλίκων που ζυγίζουν λιγότερο από 50 </w:t>
      </w:r>
      <w:r w:rsidRPr="002141F4">
        <w:rPr>
          <w:snapToGrid w:val="0"/>
          <w:szCs w:val="22"/>
          <w:lang w:val="en-US"/>
        </w:rPr>
        <w:t>kg</w:t>
      </w:r>
    </w:p>
    <w:p w14:paraId="117A68FD"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 xml:space="preserve">χρόνιας ή αντιρροπούμενης ενεργού ηπατοπάθειας, ιδιαίτερα σε εκείνους με ήπια έως μέτρια ηπατοκυτταρική ανεπάρκεια </w:t>
      </w:r>
    </w:p>
    <w:p w14:paraId="201A6A42"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 xml:space="preserve">συνδρόμου Gilbert (οικογενής υπερχολερυθριναιμία) </w:t>
      </w:r>
    </w:p>
    <w:p w14:paraId="306B303B"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χρόνιου αλκοολισμού</w:t>
      </w:r>
    </w:p>
    <w:p w14:paraId="1B262180"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χρόνιας πλημμελούς θρέψης (χαμηλά αποθέματα ηπατικής γλουταθειόνης)</w:t>
      </w:r>
    </w:p>
    <w:p w14:paraId="20DFEBB7" w14:textId="77777777" w:rsidR="00AA54AB" w:rsidRPr="002141F4" w:rsidRDefault="00AA54AB" w:rsidP="00FF6CD5">
      <w:pPr>
        <w:widowControl/>
        <w:numPr>
          <w:ilvl w:val="0"/>
          <w:numId w:val="25"/>
        </w:numPr>
        <w:spacing w:line="360" w:lineRule="auto"/>
        <w:ind w:left="709" w:hanging="283"/>
        <w:rPr>
          <w:snapToGrid w:val="0"/>
          <w:szCs w:val="22"/>
        </w:rPr>
      </w:pPr>
      <w:r w:rsidRPr="002141F4">
        <w:rPr>
          <w:snapToGrid w:val="0"/>
          <w:szCs w:val="22"/>
        </w:rPr>
        <w:t>αφυδάτωσης.</w:t>
      </w:r>
    </w:p>
    <w:p w14:paraId="49629882" w14:textId="77777777" w:rsidR="00AA54AB" w:rsidRPr="002141F4" w:rsidRDefault="00AA54AB" w:rsidP="00FF6CD5">
      <w:pPr>
        <w:widowControl/>
        <w:spacing w:line="360" w:lineRule="auto"/>
        <w:rPr>
          <w:snapToGrid w:val="0"/>
          <w:szCs w:val="22"/>
        </w:rPr>
      </w:pPr>
    </w:p>
    <w:p w14:paraId="66818293" w14:textId="77777777" w:rsidR="00AA54AB" w:rsidRPr="002141F4" w:rsidRDefault="00AA54AB" w:rsidP="00FF6CD5">
      <w:pPr>
        <w:widowControl/>
        <w:spacing w:line="360" w:lineRule="auto"/>
        <w:rPr>
          <w:snapToGrid w:val="0"/>
          <w:szCs w:val="22"/>
        </w:rPr>
      </w:pPr>
      <w:r w:rsidRPr="002141F4">
        <w:rPr>
          <w:snapToGrid w:val="0"/>
          <w:szCs w:val="22"/>
          <w:lang w:val="en-US"/>
        </w:rPr>
        <w:t>B</w:t>
      </w:r>
      <w:r w:rsidRPr="002141F4">
        <w:rPr>
          <w:snapToGrid w:val="0"/>
          <w:szCs w:val="22"/>
        </w:rPr>
        <w:t xml:space="preserve">λ. επίσης παράγραφο 5.2 </w:t>
      </w:r>
      <w:r w:rsidR="00903AAD">
        <w:rPr>
          <w:snapToGrid w:val="0"/>
          <w:szCs w:val="22"/>
        </w:rPr>
        <w:t>(</w:t>
      </w:r>
      <w:r w:rsidRPr="002141F4">
        <w:rPr>
          <w:snapToGrid w:val="0"/>
          <w:szCs w:val="22"/>
        </w:rPr>
        <w:t>Φαρμακοκινητικές ιδιότητες, Ειδικοί πληθυσμοί, Ηπατική δυσλειτουργία</w:t>
      </w:r>
      <w:r w:rsidR="00903AAD">
        <w:rPr>
          <w:snapToGrid w:val="0"/>
          <w:szCs w:val="22"/>
        </w:rPr>
        <w:t>)</w:t>
      </w:r>
      <w:r w:rsidR="009C5580">
        <w:rPr>
          <w:snapToGrid w:val="0"/>
          <w:szCs w:val="22"/>
        </w:rPr>
        <w:t>.</w:t>
      </w:r>
    </w:p>
    <w:p w14:paraId="117B28F5" w14:textId="77777777" w:rsidR="00F16F08" w:rsidRPr="002141F4" w:rsidRDefault="00F16F08" w:rsidP="00FF6CD5">
      <w:pPr>
        <w:spacing w:line="360" w:lineRule="auto"/>
        <w:rPr>
          <w:noProof/>
          <w:szCs w:val="22"/>
        </w:rPr>
      </w:pPr>
    </w:p>
    <w:p w14:paraId="3CDEF387" w14:textId="77777777" w:rsidR="0076469E" w:rsidRPr="002141F4" w:rsidRDefault="0076469E" w:rsidP="00FF6CD5">
      <w:pPr>
        <w:spacing w:line="360" w:lineRule="auto"/>
        <w:rPr>
          <w:noProof/>
          <w:szCs w:val="22"/>
          <w:u w:val="single"/>
        </w:rPr>
      </w:pPr>
      <w:r w:rsidRPr="002141F4">
        <w:rPr>
          <w:noProof/>
          <w:szCs w:val="22"/>
          <w:u w:val="single"/>
        </w:rPr>
        <w:t>Τρόπος χορήγησης</w:t>
      </w:r>
    </w:p>
    <w:p w14:paraId="5031688B" w14:textId="77777777" w:rsidR="0076469E" w:rsidRPr="002141F4" w:rsidRDefault="0076469E" w:rsidP="00FF6CD5">
      <w:pPr>
        <w:spacing w:line="360" w:lineRule="auto"/>
        <w:rPr>
          <w:noProof/>
          <w:szCs w:val="22"/>
        </w:rPr>
      </w:pPr>
      <w:r w:rsidRPr="002141F4">
        <w:rPr>
          <w:noProof/>
          <w:szCs w:val="22"/>
        </w:rPr>
        <w:t>Από του στόματος</w:t>
      </w:r>
      <w:r w:rsidR="00C67E80" w:rsidRPr="002141F4">
        <w:rPr>
          <w:noProof/>
          <w:szCs w:val="22"/>
        </w:rPr>
        <w:t xml:space="preserve"> χορήγηση μόνο</w:t>
      </w:r>
      <w:r w:rsidR="009E6E00" w:rsidRPr="002141F4">
        <w:rPr>
          <w:noProof/>
          <w:szCs w:val="22"/>
        </w:rPr>
        <w:t>.</w:t>
      </w:r>
    </w:p>
    <w:p w14:paraId="128488EC" w14:textId="77777777" w:rsidR="008A13FE" w:rsidRPr="002141F4" w:rsidRDefault="008A13FE" w:rsidP="00FF6CD5">
      <w:pPr>
        <w:spacing w:line="360" w:lineRule="auto"/>
        <w:rPr>
          <w:noProof/>
          <w:szCs w:val="22"/>
        </w:rPr>
      </w:pPr>
      <w:r w:rsidRPr="002141F4">
        <w:rPr>
          <w:noProof/>
          <w:szCs w:val="22"/>
        </w:rPr>
        <w:t>Να μην υπερβαίνετ</w:t>
      </w:r>
      <w:r w:rsidR="00C67E80" w:rsidRPr="002141F4">
        <w:rPr>
          <w:noProof/>
          <w:szCs w:val="22"/>
        </w:rPr>
        <w:t>αι</w:t>
      </w:r>
      <w:r w:rsidRPr="002141F4">
        <w:rPr>
          <w:noProof/>
          <w:szCs w:val="22"/>
        </w:rPr>
        <w:t xml:space="preserve"> η συνιστώμενη δόση.</w:t>
      </w:r>
    </w:p>
    <w:p w14:paraId="018572D8" w14:textId="77777777" w:rsidR="0002387B" w:rsidRPr="002141F4" w:rsidRDefault="0002387B" w:rsidP="00FF6CD5">
      <w:pPr>
        <w:spacing w:line="360" w:lineRule="auto"/>
        <w:rPr>
          <w:szCs w:val="22"/>
        </w:rPr>
      </w:pPr>
      <w:r w:rsidRPr="002141F4">
        <w:rPr>
          <w:szCs w:val="22"/>
        </w:rPr>
        <w:t xml:space="preserve">Πρέπει να χρησιμοποιείται η ελάχιστη δόση </w:t>
      </w:r>
      <w:r w:rsidR="009E6E00" w:rsidRPr="002141F4">
        <w:rPr>
          <w:szCs w:val="22"/>
        </w:rPr>
        <w:t xml:space="preserve">και για το μικρότερο χρονικό διάστημα </w:t>
      </w:r>
      <w:r w:rsidRPr="002141F4">
        <w:rPr>
          <w:szCs w:val="22"/>
        </w:rPr>
        <w:t>που απαιτείται για την ανακούφιση των συμπτωμάτων.</w:t>
      </w:r>
    </w:p>
    <w:p w14:paraId="77938947" w14:textId="6D52464F" w:rsidR="008A13FE" w:rsidRPr="002141F4" w:rsidRDefault="008A13FE" w:rsidP="00FF6CD5">
      <w:pPr>
        <w:spacing w:line="360" w:lineRule="auto"/>
        <w:rPr>
          <w:noProof/>
          <w:szCs w:val="22"/>
        </w:rPr>
      </w:pPr>
      <w:r w:rsidRPr="002141F4">
        <w:rPr>
          <w:noProof/>
          <w:szCs w:val="22"/>
        </w:rPr>
        <w:t xml:space="preserve">Μεταξύ των </w:t>
      </w:r>
      <w:r w:rsidR="00DE4744" w:rsidRPr="002141F4">
        <w:rPr>
          <w:noProof/>
          <w:szCs w:val="22"/>
        </w:rPr>
        <w:t xml:space="preserve">δόσεων </w:t>
      </w:r>
      <w:r w:rsidRPr="002141F4">
        <w:rPr>
          <w:noProof/>
          <w:szCs w:val="22"/>
        </w:rPr>
        <w:t xml:space="preserve">να μεσολαβεί διάστημα </w:t>
      </w:r>
      <w:r w:rsidR="00767BCA">
        <w:rPr>
          <w:noProof/>
          <w:szCs w:val="22"/>
        </w:rPr>
        <w:t>6</w:t>
      </w:r>
      <w:r w:rsidRPr="002141F4">
        <w:rPr>
          <w:noProof/>
          <w:szCs w:val="22"/>
        </w:rPr>
        <w:t xml:space="preserve"> ωρών τουλάχιστον.</w:t>
      </w:r>
    </w:p>
    <w:p w14:paraId="72066D90" w14:textId="08603625" w:rsidR="009E6E00" w:rsidRPr="002141F4" w:rsidRDefault="009E6E00" w:rsidP="00FF6CD5">
      <w:pPr>
        <w:spacing w:line="360" w:lineRule="auto"/>
        <w:rPr>
          <w:szCs w:val="22"/>
        </w:rPr>
      </w:pPr>
      <w:r w:rsidRPr="002141F4">
        <w:rPr>
          <w:szCs w:val="22"/>
        </w:rPr>
        <w:t>Να μη λαμβάνονται περισσότερες από τέσσερις δόσεις σε διάστημα 24 ωρών.</w:t>
      </w:r>
    </w:p>
    <w:p w14:paraId="7BA633F5" w14:textId="77777777" w:rsidR="00C67E80" w:rsidRPr="002141F4" w:rsidRDefault="00C67E80" w:rsidP="00FF6CD5">
      <w:pPr>
        <w:spacing w:line="360" w:lineRule="auto"/>
        <w:rPr>
          <w:noProof/>
          <w:szCs w:val="22"/>
        </w:rPr>
      </w:pPr>
      <w:r w:rsidRPr="002141F4">
        <w:rPr>
          <w:noProof/>
          <w:szCs w:val="22"/>
        </w:rPr>
        <w:t>Μέγιστη διάρκεια συνεχούς χρήσης χωρίς τη συμβουλή γιατρού: 3 ημέρες.</w:t>
      </w:r>
    </w:p>
    <w:p w14:paraId="32242794" w14:textId="77777777" w:rsidR="0058463F" w:rsidRPr="002141F4" w:rsidRDefault="0058463F" w:rsidP="00FF6CD5">
      <w:pPr>
        <w:spacing w:line="360" w:lineRule="auto"/>
        <w:rPr>
          <w:noProof/>
          <w:szCs w:val="22"/>
        </w:rPr>
      </w:pPr>
    </w:p>
    <w:p w14:paraId="300F300F" w14:textId="6E09DD37" w:rsidR="00EC2833" w:rsidRDefault="00EC2833" w:rsidP="00FF6CD5">
      <w:pPr>
        <w:spacing w:line="360" w:lineRule="auto"/>
        <w:rPr>
          <w:b/>
          <w:bCs/>
          <w:noProof/>
          <w:szCs w:val="22"/>
        </w:rPr>
      </w:pPr>
      <w:r w:rsidRPr="002141F4">
        <w:rPr>
          <w:b/>
          <w:bCs/>
          <w:noProof/>
          <w:szCs w:val="22"/>
        </w:rPr>
        <w:t>Οδηγίες χρήσης</w:t>
      </w:r>
    </w:p>
    <w:p w14:paraId="51B37A60" w14:textId="77777777" w:rsidR="00CB6483" w:rsidRDefault="00CB6483" w:rsidP="00FF6CD5">
      <w:pPr>
        <w:spacing w:line="360" w:lineRule="auto"/>
        <w:rPr>
          <w:noProof/>
          <w:szCs w:val="22"/>
        </w:rPr>
      </w:pPr>
      <w:r w:rsidRPr="00657C13">
        <w:rPr>
          <w:noProof/>
          <w:szCs w:val="22"/>
        </w:rPr>
        <w:t>Ανακινήστε το μπουκάλι πριν τη χρήση.</w:t>
      </w:r>
    </w:p>
    <w:p w14:paraId="6D6AA74A" w14:textId="77777777" w:rsidR="00CB6483" w:rsidRPr="002141F4" w:rsidRDefault="00CB6483" w:rsidP="00FF6CD5">
      <w:pPr>
        <w:spacing w:line="360" w:lineRule="auto"/>
        <w:rPr>
          <w:b/>
          <w:bCs/>
          <w:noProof/>
          <w:szCs w:val="22"/>
        </w:rPr>
      </w:pPr>
    </w:p>
    <w:p w14:paraId="419C61D8" w14:textId="57DE24BE" w:rsidR="00C75E35" w:rsidRPr="002141F4" w:rsidRDefault="00C75E35" w:rsidP="00C75E35">
      <w:pPr>
        <w:spacing w:line="360" w:lineRule="auto"/>
        <w:rPr>
          <w:b/>
          <w:bCs/>
          <w:noProof/>
          <w:szCs w:val="22"/>
        </w:rPr>
      </w:pPr>
      <w:r w:rsidRPr="002141F4">
        <w:rPr>
          <w:b/>
          <w:bCs/>
          <w:noProof/>
          <w:szCs w:val="22"/>
        </w:rPr>
        <w:t xml:space="preserve">Χρησιμοποιώντας τη δοσομετρική συσκευή </w:t>
      </w:r>
      <w:r w:rsidRPr="00E30D83">
        <w:rPr>
          <w:b/>
          <w:bCs/>
          <w:noProof/>
          <w:szCs w:val="22"/>
        </w:rPr>
        <w:t>ακρ</w:t>
      </w:r>
      <w:r w:rsidR="00771A90" w:rsidRPr="00E30D83">
        <w:rPr>
          <w:b/>
          <w:bCs/>
          <w:noProof/>
          <w:szCs w:val="22"/>
        </w:rPr>
        <w:t>ι</w:t>
      </w:r>
      <w:r w:rsidRPr="00E30D83">
        <w:rPr>
          <w:b/>
          <w:bCs/>
          <w:noProof/>
          <w:szCs w:val="22"/>
        </w:rPr>
        <w:t>βε</w:t>
      </w:r>
      <w:r w:rsidR="00771A90" w:rsidRPr="00E30D83">
        <w:rPr>
          <w:b/>
          <w:bCs/>
          <w:noProof/>
          <w:szCs w:val="22"/>
        </w:rPr>
        <w:t>ί</w:t>
      </w:r>
      <w:r w:rsidRPr="00E30D83">
        <w:rPr>
          <w:b/>
          <w:bCs/>
          <w:noProof/>
          <w:szCs w:val="22"/>
        </w:rPr>
        <w:t>ας</w:t>
      </w:r>
    </w:p>
    <w:p w14:paraId="27627F6D" w14:textId="77777777" w:rsidR="00C75E35" w:rsidRPr="002141F4" w:rsidRDefault="00C75E35" w:rsidP="00C75E35">
      <w:pPr>
        <w:spacing w:line="360" w:lineRule="auto"/>
        <w:rPr>
          <w:b/>
          <w:bCs/>
          <w:noProof/>
          <w:szCs w:val="22"/>
        </w:rPr>
      </w:pPr>
      <w:r w:rsidRPr="006142E0">
        <w:rPr>
          <w:b/>
          <w:noProof/>
          <w:szCs w:val="22"/>
          <w:lang w:eastAsia="el-GR"/>
        </w:rPr>
        <w:drawing>
          <wp:inline distT="0" distB="0" distL="0" distR="0" wp14:anchorId="346CA25E" wp14:editId="469DC903">
            <wp:extent cx="5151755"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7594" b="60914"/>
                    <a:stretch/>
                  </pic:blipFill>
                  <pic:spPr bwMode="auto">
                    <a:xfrm>
                      <a:off x="0" y="0"/>
                      <a:ext cx="5171606" cy="14629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660"/>
        <w:gridCol w:w="2977"/>
        <w:gridCol w:w="2551"/>
      </w:tblGrid>
      <w:tr w:rsidR="00C75E35" w:rsidRPr="002141F4" w14:paraId="5AFB5E81" w14:textId="77777777" w:rsidTr="00CF7B36">
        <w:tc>
          <w:tcPr>
            <w:tcW w:w="2660" w:type="dxa"/>
          </w:tcPr>
          <w:p w14:paraId="08BF37EA" w14:textId="77777777" w:rsidR="00C75E35" w:rsidRPr="002141F4" w:rsidRDefault="00C75E35" w:rsidP="00C75E35">
            <w:pPr>
              <w:pStyle w:val="ListParagraph"/>
              <w:numPr>
                <w:ilvl w:val="0"/>
                <w:numId w:val="30"/>
              </w:numPr>
              <w:spacing w:line="276" w:lineRule="auto"/>
              <w:rPr>
                <w:b/>
                <w:bCs/>
                <w:noProof/>
                <w:szCs w:val="22"/>
              </w:rPr>
            </w:pPr>
            <w:r w:rsidRPr="002141F4">
              <w:rPr>
                <w:b/>
                <w:bCs/>
                <w:noProof/>
                <w:szCs w:val="22"/>
              </w:rPr>
              <w:t>Τοποθέτηση</w:t>
            </w:r>
          </w:p>
          <w:p w14:paraId="2AD0D224" w14:textId="111FDAD6" w:rsidR="00C75E35" w:rsidRPr="002141F4" w:rsidRDefault="00C75E35" w:rsidP="00CF7B36">
            <w:pPr>
              <w:spacing w:line="276" w:lineRule="auto"/>
              <w:ind w:left="360"/>
              <w:rPr>
                <w:noProof/>
                <w:szCs w:val="22"/>
              </w:rPr>
            </w:pPr>
            <w:r w:rsidRPr="002141F4">
              <w:rPr>
                <w:noProof/>
                <w:szCs w:val="22"/>
              </w:rPr>
              <w:t>Σπρώξτε το έμβολο πλήρως</w:t>
            </w:r>
            <w:r w:rsidR="009C5580">
              <w:rPr>
                <w:noProof/>
                <w:szCs w:val="22"/>
              </w:rPr>
              <w:t>,</w:t>
            </w:r>
            <w:r w:rsidRPr="002141F4">
              <w:rPr>
                <w:noProof/>
                <w:szCs w:val="22"/>
              </w:rPr>
              <w:t xml:space="preserve"> ώστε να </w:t>
            </w:r>
            <w:r w:rsidRPr="002141F4">
              <w:rPr>
                <w:noProof/>
                <w:szCs w:val="22"/>
              </w:rPr>
              <w:lastRenderedPageBreak/>
              <w:t>κλείσει η δοσ</w:t>
            </w:r>
            <w:r w:rsidR="00771A90" w:rsidRPr="002141F4">
              <w:rPr>
                <w:noProof/>
                <w:szCs w:val="22"/>
              </w:rPr>
              <w:t>ο</w:t>
            </w:r>
            <w:r w:rsidRPr="002141F4">
              <w:rPr>
                <w:noProof/>
                <w:szCs w:val="22"/>
              </w:rPr>
              <w:t>μετρική συσκευή. Στη συνέχεια, τοποθετήστε το σταθερά στο</w:t>
            </w:r>
            <w:r w:rsidR="009C5580">
              <w:rPr>
                <w:noProof/>
                <w:szCs w:val="22"/>
              </w:rPr>
              <w:t>ν</w:t>
            </w:r>
            <w:r w:rsidRPr="002141F4">
              <w:rPr>
                <w:noProof/>
                <w:szCs w:val="22"/>
              </w:rPr>
              <w:t xml:space="preserve"> λαιμό της φιάλης.</w:t>
            </w:r>
          </w:p>
        </w:tc>
        <w:tc>
          <w:tcPr>
            <w:tcW w:w="2977" w:type="dxa"/>
          </w:tcPr>
          <w:p w14:paraId="281A8985" w14:textId="77777777" w:rsidR="00C75E35" w:rsidRPr="002141F4" w:rsidRDefault="00C75E35" w:rsidP="00C75E35">
            <w:pPr>
              <w:pStyle w:val="ListParagraph"/>
              <w:numPr>
                <w:ilvl w:val="0"/>
                <w:numId w:val="30"/>
              </w:numPr>
              <w:spacing w:line="276" w:lineRule="auto"/>
              <w:rPr>
                <w:b/>
                <w:bCs/>
                <w:noProof/>
                <w:szCs w:val="22"/>
              </w:rPr>
            </w:pPr>
            <w:r w:rsidRPr="002141F4">
              <w:rPr>
                <w:b/>
                <w:bCs/>
                <w:noProof/>
                <w:szCs w:val="22"/>
              </w:rPr>
              <w:lastRenderedPageBreak/>
              <w:t>Σύρετε μέχρι τη σωστή δόση</w:t>
            </w:r>
          </w:p>
          <w:p w14:paraId="1D1A7003" w14:textId="0E1AFBF1" w:rsidR="00C75E35" w:rsidRPr="002141F4" w:rsidRDefault="00B61099" w:rsidP="00CF7B36">
            <w:pPr>
              <w:spacing w:line="276" w:lineRule="auto"/>
              <w:ind w:left="360"/>
              <w:rPr>
                <w:noProof/>
                <w:szCs w:val="22"/>
              </w:rPr>
            </w:pPr>
            <w:r w:rsidRPr="002141F4">
              <w:rPr>
                <w:noProof/>
                <w:szCs w:val="22"/>
              </w:rPr>
              <w:t xml:space="preserve">Γυρίστε τη φιάλη ανάποδα </w:t>
            </w:r>
            <w:r w:rsidRPr="002141F4">
              <w:rPr>
                <w:noProof/>
                <w:szCs w:val="22"/>
              </w:rPr>
              <w:lastRenderedPageBreak/>
              <w:t>και σύρετε το έμβολο της δοσομετρικής συσκευής απαλά</w:t>
            </w:r>
            <w:r w:rsidR="009C5580">
              <w:rPr>
                <w:noProof/>
                <w:szCs w:val="22"/>
              </w:rPr>
              <w:t>,</w:t>
            </w:r>
            <w:r w:rsidRPr="002141F4">
              <w:rPr>
                <w:noProof/>
                <w:szCs w:val="22"/>
              </w:rPr>
              <w:t xml:space="preserve"> ώστε να τραβήξετε τη σωστή δόση για το παιδί σας. Η δόση ορίζεται από το σημείο όπου οι φαρδύτερες πλευρές του εμβόλου συναντούν το αντίστοιχο σημάδι mL στον κύλινδρο της δοσομετρικής συσκευής</w:t>
            </w:r>
            <w:r w:rsidR="009C5580">
              <w:rPr>
                <w:noProof/>
                <w:szCs w:val="22"/>
              </w:rPr>
              <w:t>.</w:t>
            </w:r>
          </w:p>
        </w:tc>
        <w:tc>
          <w:tcPr>
            <w:tcW w:w="2551" w:type="dxa"/>
          </w:tcPr>
          <w:p w14:paraId="1A47DB83" w14:textId="77777777" w:rsidR="00C75E35" w:rsidRPr="002141F4" w:rsidRDefault="00C75E35" w:rsidP="00C75E35">
            <w:pPr>
              <w:pStyle w:val="ListParagraph"/>
              <w:numPr>
                <w:ilvl w:val="0"/>
                <w:numId w:val="30"/>
              </w:numPr>
              <w:spacing w:line="276" w:lineRule="auto"/>
              <w:rPr>
                <w:b/>
                <w:bCs/>
                <w:noProof/>
                <w:szCs w:val="22"/>
              </w:rPr>
            </w:pPr>
            <w:r w:rsidRPr="002141F4">
              <w:rPr>
                <w:b/>
                <w:bCs/>
                <w:noProof/>
                <w:szCs w:val="22"/>
              </w:rPr>
              <w:lastRenderedPageBreak/>
              <w:t>Αφαίρεση</w:t>
            </w:r>
          </w:p>
          <w:p w14:paraId="51BD01D0" w14:textId="77777777" w:rsidR="00C75E35" w:rsidRPr="002141F4" w:rsidRDefault="00C75E35" w:rsidP="00CF7B36">
            <w:pPr>
              <w:spacing w:line="276" w:lineRule="auto"/>
              <w:ind w:left="360"/>
              <w:rPr>
                <w:noProof/>
                <w:szCs w:val="22"/>
              </w:rPr>
            </w:pPr>
            <w:r w:rsidRPr="002141F4">
              <w:rPr>
                <w:noProof/>
                <w:szCs w:val="22"/>
              </w:rPr>
              <w:t xml:space="preserve">Γυρίστε ξανά τη φιάλη σε όρθια θέση </w:t>
            </w:r>
            <w:r w:rsidRPr="002141F4">
              <w:rPr>
                <w:noProof/>
                <w:szCs w:val="22"/>
              </w:rPr>
              <w:lastRenderedPageBreak/>
              <w:t>και απομακρύνετε τη συσκευή από το</w:t>
            </w:r>
            <w:r w:rsidR="009C5580">
              <w:rPr>
                <w:noProof/>
                <w:szCs w:val="22"/>
              </w:rPr>
              <w:t>ν</w:t>
            </w:r>
            <w:r w:rsidRPr="002141F4">
              <w:rPr>
                <w:noProof/>
                <w:szCs w:val="22"/>
              </w:rPr>
              <w:t xml:space="preserve"> λαιμό της φιάλης στρίβοντάς την ελαφρώς.</w:t>
            </w:r>
          </w:p>
        </w:tc>
      </w:tr>
    </w:tbl>
    <w:p w14:paraId="786561D0" w14:textId="77777777" w:rsidR="00C75E35" w:rsidRPr="002141F4" w:rsidRDefault="00C75E35" w:rsidP="00C75E35">
      <w:pPr>
        <w:spacing w:line="360" w:lineRule="auto"/>
        <w:rPr>
          <w:noProof/>
          <w:szCs w:val="22"/>
        </w:rPr>
      </w:pPr>
    </w:p>
    <w:p w14:paraId="6466586E" w14:textId="77777777" w:rsidR="00C75E35" w:rsidRPr="002141F4" w:rsidRDefault="00C75E35" w:rsidP="00C75E35">
      <w:pPr>
        <w:spacing w:line="360" w:lineRule="auto"/>
        <w:rPr>
          <w:b/>
          <w:bCs/>
          <w:noProof/>
          <w:szCs w:val="22"/>
        </w:rPr>
      </w:pPr>
      <w:r w:rsidRPr="002141F4">
        <w:rPr>
          <w:b/>
          <w:bCs/>
          <w:noProof/>
          <w:szCs w:val="22"/>
        </w:rPr>
        <w:t>Μετά τη χρήση του φαρμάκου</w:t>
      </w:r>
    </w:p>
    <w:p w14:paraId="455B5525" w14:textId="77777777" w:rsidR="00140F25" w:rsidRPr="002141F4" w:rsidRDefault="00140F25" w:rsidP="00140F25">
      <w:pPr>
        <w:spacing w:line="360" w:lineRule="auto"/>
        <w:rPr>
          <w:noProof/>
          <w:szCs w:val="22"/>
        </w:rPr>
      </w:pPr>
      <w:r w:rsidRPr="002141F4">
        <w:rPr>
          <w:noProof/>
          <w:szCs w:val="22"/>
        </w:rPr>
        <w:t>Σπρώξτε το καπάκι προς τα κάτω και γυρίστε το για να κλείσει καλά και, στη συνέχεια, γυρίστε το προς την αντίθετη φορά μέχρι να ακούσετε το</w:t>
      </w:r>
      <w:r w:rsidR="009C5580">
        <w:rPr>
          <w:noProof/>
          <w:szCs w:val="22"/>
        </w:rPr>
        <w:t>ν</w:t>
      </w:r>
      <w:r w:rsidRPr="002141F4">
        <w:rPr>
          <w:noProof/>
          <w:szCs w:val="22"/>
        </w:rPr>
        <w:t xml:space="preserve"> χαρακτηριστικό ήχο.</w:t>
      </w:r>
    </w:p>
    <w:p w14:paraId="5BDE3678" w14:textId="77777777" w:rsidR="005A5B68" w:rsidRPr="002141F4" w:rsidRDefault="00140F25" w:rsidP="00FF6CD5">
      <w:pPr>
        <w:spacing w:line="360" w:lineRule="auto"/>
        <w:rPr>
          <w:noProof/>
          <w:szCs w:val="22"/>
        </w:rPr>
      </w:pPr>
      <w:r w:rsidRPr="002141F4">
        <w:rPr>
          <w:noProof/>
          <w:szCs w:val="22"/>
        </w:rPr>
        <w:t>Μετά τη χρήση θα πρέπει να καθαρίσετε τη συσκευή με ζεστό νερό και να την στεγνώσετε. Δε</w:t>
      </w:r>
      <w:r w:rsidR="009C5580">
        <w:rPr>
          <w:noProof/>
          <w:szCs w:val="22"/>
        </w:rPr>
        <w:t>ν</w:t>
      </w:r>
      <w:r w:rsidRPr="002141F4">
        <w:rPr>
          <w:noProof/>
          <w:szCs w:val="22"/>
        </w:rPr>
        <w:t xml:space="preserve"> χρειάζεται να την αποστειρώσετε.</w:t>
      </w:r>
    </w:p>
    <w:p w14:paraId="76DC851D" w14:textId="77777777" w:rsidR="0048083C" w:rsidRPr="002141F4" w:rsidRDefault="0048083C" w:rsidP="00FF6CD5">
      <w:pPr>
        <w:spacing w:line="360" w:lineRule="auto"/>
        <w:rPr>
          <w:noProof/>
          <w:szCs w:val="22"/>
        </w:rPr>
      </w:pPr>
    </w:p>
    <w:p w14:paraId="04EB9C7B" w14:textId="77777777" w:rsidR="00496809" w:rsidRPr="002141F4" w:rsidRDefault="00496809" w:rsidP="00E30D83">
      <w:pPr>
        <w:numPr>
          <w:ilvl w:val="1"/>
          <w:numId w:val="28"/>
        </w:numPr>
        <w:spacing w:line="360" w:lineRule="auto"/>
        <w:ind w:left="0" w:firstLine="0"/>
        <w:rPr>
          <w:szCs w:val="22"/>
        </w:rPr>
      </w:pPr>
      <w:r w:rsidRPr="002141F4">
        <w:rPr>
          <w:b/>
          <w:szCs w:val="22"/>
        </w:rPr>
        <w:t>Αντενδείξεις</w:t>
      </w:r>
    </w:p>
    <w:p w14:paraId="5DDEC05F" w14:textId="77777777" w:rsidR="00496809" w:rsidRPr="002141F4" w:rsidRDefault="00496809" w:rsidP="00FF6CD5">
      <w:pPr>
        <w:spacing w:line="360" w:lineRule="auto"/>
        <w:rPr>
          <w:szCs w:val="22"/>
        </w:rPr>
      </w:pPr>
    </w:p>
    <w:p w14:paraId="4586E45D" w14:textId="77777777" w:rsidR="008C4690" w:rsidRPr="002141F4" w:rsidRDefault="00271694" w:rsidP="00FF6CD5">
      <w:pPr>
        <w:numPr>
          <w:ilvl w:val="0"/>
          <w:numId w:val="27"/>
        </w:numPr>
        <w:spacing w:line="360" w:lineRule="auto"/>
        <w:ind w:left="709" w:hanging="283"/>
        <w:rPr>
          <w:noProof/>
          <w:szCs w:val="22"/>
        </w:rPr>
      </w:pPr>
      <w:r w:rsidRPr="002141F4">
        <w:rPr>
          <w:noProof/>
          <w:szCs w:val="22"/>
        </w:rPr>
        <w:t>Υπερευαισθησία στη</w:t>
      </w:r>
      <w:r w:rsidR="00B748BF" w:rsidRPr="002141F4">
        <w:rPr>
          <w:noProof/>
          <w:szCs w:val="22"/>
        </w:rPr>
        <w:t>ν παρακεταμόλη</w:t>
      </w:r>
      <w:r w:rsidRPr="002141F4">
        <w:rPr>
          <w:noProof/>
          <w:szCs w:val="22"/>
        </w:rPr>
        <w:t xml:space="preserve"> ή σε κάποιο από τα έκδοχα που αναφέρονται στην παράγραφο 6.1</w:t>
      </w:r>
    </w:p>
    <w:p w14:paraId="62F3942E" w14:textId="77777777" w:rsidR="008C4690" w:rsidRPr="002141F4" w:rsidRDefault="00172829" w:rsidP="00FF6CD5">
      <w:pPr>
        <w:numPr>
          <w:ilvl w:val="0"/>
          <w:numId w:val="27"/>
        </w:numPr>
        <w:spacing w:line="360" w:lineRule="auto"/>
        <w:ind w:left="709" w:hanging="283"/>
        <w:rPr>
          <w:noProof/>
          <w:szCs w:val="22"/>
        </w:rPr>
      </w:pPr>
      <w:r w:rsidRPr="002141F4">
        <w:rPr>
          <w:noProof/>
          <w:szCs w:val="22"/>
        </w:rPr>
        <w:t>Σοβαρή ηπατοκυτταρική ανεπάρκεια ή μη αντιρροπούμενη ενεργός ηπατοπάθεια</w:t>
      </w:r>
    </w:p>
    <w:p w14:paraId="3588A518" w14:textId="77777777" w:rsidR="005A2CE1" w:rsidRPr="006142E0" w:rsidRDefault="00172829" w:rsidP="00FF6CD5">
      <w:pPr>
        <w:numPr>
          <w:ilvl w:val="0"/>
          <w:numId w:val="27"/>
        </w:numPr>
        <w:spacing w:line="360" w:lineRule="auto"/>
        <w:ind w:left="709" w:hanging="283"/>
        <w:rPr>
          <w:szCs w:val="22"/>
          <w:lang w:val="en-US"/>
        </w:rPr>
      </w:pPr>
      <w:r w:rsidRPr="002141F4">
        <w:rPr>
          <w:noProof/>
          <w:szCs w:val="22"/>
        </w:rPr>
        <w:t>Σοβαρή νεφρική ανεπάρκεια</w:t>
      </w:r>
      <w:r w:rsidRPr="002141F4" w:rsidDel="00172829">
        <w:rPr>
          <w:noProof/>
          <w:szCs w:val="22"/>
        </w:rPr>
        <w:t xml:space="preserve"> </w:t>
      </w:r>
    </w:p>
    <w:p w14:paraId="56325146" w14:textId="77777777" w:rsidR="00E948D1" w:rsidRPr="003D0DF2" w:rsidRDefault="00E948D1" w:rsidP="00FF6CD5">
      <w:pPr>
        <w:spacing w:line="360" w:lineRule="auto"/>
        <w:rPr>
          <w:szCs w:val="22"/>
          <w:lang w:val="en-US"/>
        </w:rPr>
      </w:pPr>
    </w:p>
    <w:p w14:paraId="6364D62D" w14:textId="77777777" w:rsidR="00496809" w:rsidRPr="002141F4" w:rsidRDefault="00496809" w:rsidP="00FF6CD5">
      <w:pPr>
        <w:spacing w:line="360" w:lineRule="auto"/>
        <w:rPr>
          <w:szCs w:val="22"/>
        </w:rPr>
      </w:pPr>
      <w:r w:rsidRPr="002141F4">
        <w:rPr>
          <w:b/>
          <w:szCs w:val="22"/>
        </w:rPr>
        <w:t>4.4</w:t>
      </w:r>
      <w:r w:rsidRPr="002141F4">
        <w:rPr>
          <w:b/>
          <w:szCs w:val="22"/>
        </w:rPr>
        <w:tab/>
        <w:t>Ειδικές προειδοποιήσεις και προφυλάξεις κατά τη χρήση</w:t>
      </w:r>
    </w:p>
    <w:p w14:paraId="2E795DD5" w14:textId="77777777" w:rsidR="00056716" w:rsidRPr="00E30D83" w:rsidRDefault="00056716" w:rsidP="00FF6CD5">
      <w:pPr>
        <w:spacing w:line="360" w:lineRule="auto"/>
        <w:rPr>
          <w:noProof/>
          <w:szCs w:val="22"/>
        </w:rPr>
      </w:pPr>
    </w:p>
    <w:p w14:paraId="011173EC" w14:textId="3C4008DE" w:rsidR="00172829" w:rsidRPr="002141F4" w:rsidRDefault="00172829" w:rsidP="00FF6CD5">
      <w:pPr>
        <w:widowControl/>
        <w:spacing w:line="360" w:lineRule="auto"/>
        <w:rPr>
          <w:szCs w:val="22"/>
          <w:lang w:eastAsia="zh-CN"/>
        </w:rPr>
      </w:pPr>
      <w:r w:rsidRPr="002141F4">
        <w:rPr>
          <w:szCs w:val="22"/>
          <w:lang w:eastAsia="zh-CN"/>
        </w:rPr>
        <w:t xml:space="preserve">Για την αποφυγή του κινδύνου υπερδοσολογίας, ελέγξτε ότι τα άλλα χορηγούμενα φάρμακα (συμπεριλαμβανομένων των συνταγογραφούμενων και των μη συνταγογραφούμενων) δεν περιέχουν παρακεταμόλη (βλ. </w:t>
      </w:r>
      <w:r w:rsidR="009C5580">
        <w:rPr>
          <w:szCs w:val="22"/>
          <w:lang w:eastAsia="zh-CN"/>
        </w:rPr>
        <w:t xml:space="preserve">παράγραφο </w:t>
      </w:r>
      <w:r w:rsidRPr="002141F4">
        <w:rPr>
          <w:szCs w:val="22"/>
          <w:lang w:eastAsia="zh-CN"/>
        </w:rPr>
        <w:t>4.5).</w:t>
      </w:r>
    </w:p>
    <w:p w14:paraId="1598D969" w14:textId="77777777" w:rsidR="00A544E3" w:rsidRPr="002141F4" w:rsidRDefault="00A544E3" w:rsidP="00FF6CD5">
      <w:pPr>
        <w:pStyle w:val="NoSpacing"/>
        <w:spacing w:line="360" w:lineRule="auto"/>
        <w:rPr>
          <w:szCs w:val="22"/>
        </w:rPr>
      </w:pPr>
    </w:p>
    <w:p w14:paraId="23D95F39" w14:textId="77777777" w:rsidR="00A367E2" w:rsidRPr="002141F4" w:rsidRDefault="00A367E2" w:rsidP="00FF6CD5">
      <w:pPr>
        <w:pStyle w:val="NoSpacing"/>
        <w:spacing w:line="360" w:lineRule="auto"/>
        <w:rPr>
          <w:szCs w:val="22"/>
        </w:rPr>
      </w:pPr>
      <w:r w:rsidRPr="002141F4">
        <w:rPr>
          <w:szCs w:val="22"/>
        </w:rPr>
        <w:t xml:space="preserve">Η υπερδοσολογία με παρακεταμόλη είναι πιθανό να προκαλέσει ηπατική ανεπάρκεια, κατάσταση που μπορεί να </w:t>
      </w:r>
      <w:r w:rsidR="00525884" w:rsidRPr="002141F4">
        <w:rPr>
          <w:szCs w:val="22"/>
        </w:rPr>
        <w:t>απαιτήσει</w:t>
      </w:r>
      <w:r w:rsidR="00A544E3" w:rsidRPr="002141F4">
        <w:rPr>
          <w:szCs w:val="22"/>
        </w:rPr>
        <w:t xml:space="preserve"> </w:t>
      </w:r>
      <w:r w:rsidR="00525884" w:rsidRPr="002141F4">
        <w:rPr>
          <w:szCs w:val="22"/>
        </w:rPr>
        <w:t>μεταμόσχευση ήπατος ή να οδηγήσει στο</w:t>
      </w:r>
      <w:r w:rsidR="009C5580">
        <w:rPr>
          <w:szCs w:val="22"/>
        </w:rPr>
        <w:t>ν</w:t>
      </w:r>
      <w:r w:rsidR="00525884" w:rsidRPr="002141F4">
        <w:rPr>
          <w:szCs w:val="22"/>
        </w:rPr>
        <w:t xml:space="preserve"> </w:t>
      </w:r>
      <w:r w:rsidRPr="002141F4">
        <w:rPr>
          <w:szCs w:val="22"/>
        </w:rPr>
        <w:t>θάνατο.</w:t>
      </w:r>
    </w:p>
    <w:p w14:paraId="6526D706" w14:textId="77777777" w:rsidR="00A367E2" w:rsidRPr="002141F4" w:rsidRDefault="00A367E2" w:rsidP="00FF6CD5">
      <w:pPr>
        <w:pStyle w:val="NoSpacing"/>
        <w:spacing w:line="360" w:lineRule="auto"/>
        <w:rPr>
          <w:i/>
          <w:noProof/>
          <w:szCs w:val="22"/>
        </w:rPr>
      </w:pPr>
    </w:p>
    <w:p w14:paraId="1E13E40D" w14:textId="77777777" w:rsidR="00F16F08" w:rsidRPr="002141F4" w:rsidRDefault="00C704A6" w:rsidP="00FF6CD5">
      <w:pPr>
        <w:pStyle w:val="NoSpacing"/>
        <w:spacing w:line="360" w:lineRule="auto"/>
        <w:rPr>
          <w:noProof/>
          <w:szCs w:val="22"/>
        </w:rPr>
      </w:pPr>
      <w:r w:rsidRPr="002141F4">
        <w:rPr>
          <w:noProof/>
          <w:szCs w:val="22"/>
        </w:rPr>
        <w:t>Η παρακεταμόλη πρέπει να χορηγείται με προσοχή</w:t>
      </w:r>
      <w:r w:rsidR="00F16F08" w:rsidRPr="002141F4">
        <w:rPr>
          <w:szCs w:val="22"/>
          <w:lang w:eastAsia="zh-CN"/>
        </w:rPr>
        <w:t xml:space="preserve"> σε περιπτώσεις</w:t>
      </w:r>
      <w:r w:rsidR="00C67E80" w:rsidRPr="002141F4">
        <w:rPr>
          <w:noProof/>
          <w:szCs w:val="22"/>
        </w:rPr>
        <w:t>:</w:t>
      </w:r>
    </w:p>
    <w:p w14:paraId="7C2080DD" w14:textId="77777777" w:rsidR="00F16F08" w:rsidRPr="002141F4" w:rsidRDefault="00F16F08" w:rsidP="00FF6CD5">
      <w:pPr>
        <w:pStyle w:val="NoSpacing"/>
        <w:spacing w:line="360" w:lineRule="auto"/>
        <w:rPr>
          <w:noProof/>
          <w:szCs w:val="22"/>
        </w:rPr>
      </w:pPr>
    </w:p>
    <w:p w14:paraId="05FC9CB1" w14:textId="6264ABBD" w:rsidR="00F16F08" w:rsidRPr="002141F4" w:rsidRDefault="00F16F08" w:rsidP="00FF6CD5">
      <w:pPr>
        <w:pStyle w:val="NoSpacing"/>
        <w:widowControl/>
        <w:numPr>
          <w:ilvl w:val="0"/>
          <w:numId w:val="29"/>
        </w:numPr>
        <w:spacing w:line="360" w:lineRule="auto"/>
        <w:rPr>
          <w:szCs w:val="22"/>
          <w:lang w:eastAsia="zh-CN"/>
        </w:rPr>
      </w:pPr>
      <w:r w:rsidRPr="002141F4">
        <w:rPr>
          <w:szCs w:val="22"/>
          <w:lang w:eastAsia="zh-CN"/>
        </w:rPr>
        <w:t xml:space="preserve">Ηπατοκυτταρικής ανεπάρκειας, συμπεριλαμβανομένου του συνδρόμου </w:t>
      </w:r>
      <w:r w:rsidRPr="002141F4">
        <w:rPr>
          <w:szCs w:val="22"/>
          <w:lang w:val="en-GB" w:eastAsia="zh-CN"/>
        </w:rPr>
        <w:t>Gilbert</w:t>
      </w:r>
      <w:r w:rsidRPr="002141F4">
        <w:rPr>
          <w:szCs w:val="22"/>
          <w:lang w:eastAsia="zh-CN"/>
        </w:rPr>
        <w:t xml:space="preserve"> (οικογενής υπερχολερυθριναιμία) </w:t>
      </w:r>
      <w:r w:rsidR="009C5580">
        <w:rPr>
          <w:szCs w:val="22"/>
          <w:lang w:eastAsia="zh-CN"/>
        </w:rPr>
        <w:t>(</w:t>
      </w:r>
      <w:r w:rsidRPr="002141F4">
        <w:rPr>
          <w:szCs w:val="22"/>
          <w:lang w:eastAsia="zh-CN"/>
        </w:rPr>
        <w:t xml:space="preserve">βλ. επίσης </w:t>
      </w:r>
      <w:r w:rsidR="009C5580">
        <w:rPr>
          <w:szCs w:val="22"/>
          <w:lang w:eastAsia="zh-CN"/>
        </w:rPr>
        <w:t>παραγράφους</w:t>
      </w:r>
      <w:r w:rsidR="009C5580" w:rsidRPr="002141F4">
        <w:rPr>
          <w:szCs w:val="22"/>
          <w:lang w:eastAsia="zh-CN"/>
        </w:rPr>
        <w:t xml:space="preserve"> </w:t>
      </w:r>
      <w:r w:rsidRPr="002141F4">
        <w:rPr>
          <w:szCs w:val="22"/>
          <w:lang w:eastAsia="zh-CN"/>
        </w:rPr>
        <w:t>4.2 και 5.2</w:t>
      </w:r>
      <w:r w:rsidR="009C5580">
        <w:rPr>
          <w:szCs w:val="22"/>
          <w:lang w:eastAsia="zh-CN"/>
        </w:rPr>
        <w:t>)</w:t>
      </w:r>
    </w:p>
    <w:p w14:paraId="4713F643" w14:textId="64989B5B" w:rsidR="00F16F08" w:rsidRPr="002141F4" w:rsidRDefault="00F16F08" w:rsidP="00FF6CD5">
      <w:pPr>
        <w:widowControl/>
        <w:numPr>
          <w:ilvl w:val="0"/>
          <w:numId w:val="29"/>
        </w:numPr>
        <w:spacing w:line="360" w:lineRule="auto"/>
        <w:rPr>
          <w:szCs w:val="22"/>
          <w:lang w:eastAsia="zh-CN"/>
        </w:rPr>
      </w:pPr>
      <w:r w:rsidRPr="002141F4">
        <w:rPr>
          <w:szCs w:val="22"/>
          <w:lang w:eastAsia="zh-CN"/>
        </w:rPr>
        <w:t xml:space="preserve">Σοβαρής νεφρικής ανεπάρκειας (κάθαρση κρεατινίνης ≤ 30 </w:t>
      </w:r>
      <w:r w:rsidRPr="002141F4">
        <w:rPr>
          <w:szCs w:val="22"/>
          <w:lang w:val="en-GB" w:eastAsia="zh-CN"/>
        </w:rPr>
        <w:t>mL</w:t>
      </w:r>
      <w:r w:rsidRPr="002141F4">
        <w:rPr>
          <w:szCs w:val="22"/>
          <w:lang w:eastAsia="zh-CN"/>
        </w:rPr>
        <w:t>/</w:t>
      </w:r>
      <w:r w:rsidRPr="002141F4">
        <w:rPr>
          <w:szCs w:val="22"/>
          <w:lang w:val="en-GB" w:eastAsia="zh-CN"/>
        </w:rPr>
        <w:t>min</w:t>
      </w:r>
      <w:r w:rsidRPr="002141F4">
        <w:rPr>
          <w:szCs w:val="22"/>
          <w:lang w:eastAsia="zh-CN"/>
        </w:rPr>
        <w:t xml:space="preserve">) </w:t>
      </w:r>
      <w:r w:rsidR="009C5580">
        <w:rPr>
          <w:szCs w:val="22"/>
          <w:lang w:eastAsia="zh-CN"/>
        </w:rPr>
        <w:t>(</w:t>
      </w:r>
      <w:r w:rsidRPr="002141F4">
        <w:rPr>
          <w:szCs w:val="22"/>
          <w:lang w:eastAsia="zh-CN"/>
        </w:rPr>
        <w:t xml:space="preserve">βλ. επίσης </w:t>
      </w:r>
      <w:r w:rsidR="009C5580">
        <w:rPr>
          <w:szCs w:val="22"/>
          <w:lang w:eastAsia="zh-CN"/>
        </w:rPr>
        <w:t>παραγράφους</w:t>
      </w:r>
      <w:r w:rsidR="009C5580" w:rsidRPr="002141F4">
        <w:rPr>
          <w:szCs w:val="22"/>
          <w:lang w:eastAsia="zh-CN"/>
        </w:rPr>
        <w:t xml:space="preserve"> </w:t>
      </w:r>
      <w:r w:rsidRPr="002141F4">
        <w:rPr>
          <w:szCs w:val="22"/>
          <w:lang w:eastAsia="zh-CN"/>
        </w:rPr>
        <w:t>4.2 και 5.2</w:t>
      </w:r>
      <w:r w:rsidR="009C5580">
        <w:rPr>
          <w:szCs w:val="22"/>
          <w:lang w:eastAsia="zh-CN"/>
        </w:rPr>
        <w:t>)</w:t>
      </w:r>
    </w:p>
    <w:p w14:paraId="63DB3883" w14:textId="77777777" w:rsidR="00F16F08" w:rsidRPr="002141F4" w:rsidRDefault="00F16F08" w:rsidP="00FF6CD5">
      <w:pPr>
        <w:widowControl/>
        <w:numPr>
          <w:ilvl w:val="0"/>
          <w:numId w:val="29"/>
        </w:numPr>
        <w:spacing w:line="360" w:lineRule="auto"/>
        <w:rPr>
          <w:szCs w:val="22"/>
          <w:lang w:eastAsia="zh-CN"/>
        </w:rPr>
      </w:pPr>
      <w:r w:rsidRPr="002141F4">
        <w:rPr>
          <w:szCs w:val="22"/>
          <w:lang w:eastAsia="zh-CN"/>
        </w:rPr>
        <w:lastRenderedPageBreak/>
        <w:t>Ανεπάρκειας της αφυδρογονάσης της 6-φωσφορικής γλυκόζης (</w:t>
      </w:r>
      <w:r w:rsidRPr="002141F4">
        <w:rPr>
          <w:szCs w:val="22"/>
          <w:lang w:val="en-GB" w:eastAsia="zh-CN"/>
        </w:rPr>
        <w:t>G</w:t>
      </w:r>
      <w:r w:rsidRPr="002141F4">
        <w:rPr>
          <w:szCs w:val="22"/>
          <w:lang w:eastAsia="zh-CN"/>
        </w:rPr>
        <w:t>6</w:t>
      </w:r>
      <w:r w:rsidRPr="002141F4">
        <w:rPr>
          <w:szCs w:val="22"/>
          <w:lang w:val="en-GB" w:eastAsia="zh-CN"/>
        </w:rPr>
        <w:t>PD</w:t>
      </w:r>
      <w:r w:rsidRPr="002141F4">
        <w:rPr>
          <w:szCs w:val="22"/>
          <w:lang w:eastAsia="zh-CN"/>
        </w:rPr>
        <w:t>) (ενδέχεται να οδηγήσει σε αιμολυτική αναιμία).</w:t>
      </w:r>
    </w:p>
    <w:p w14:paraId="6C13E110" w14:textId="77777777" w:rsidR="00F16F08" w:rsidRPr="002141F4" w:rsidRDefault="00F16F08" w:rsidP="00FF6CD5">
      <w:pPr>
        <w:widowControl/>
        <w:numPr>
          <w:ilvl w:val="0"/>
          <w:numId w:val="29"/>
        </w:numPr>
        <w:spacing w:line="360" w:lineRule="auto"/>
        <w:rPr>
          <w:szCs w:val="22"/>
          <w:lang w:eastAsia="zh-CN"/>
        </w:rPr>
      </w:pPr>
      <w:r w:rsidRPr="002141F4">
        <w:rPr>
          <w:szCs w:val="22"/>
          <w:lang w:eastAsia="zh-CN"/>
        </w:rPr>
        <w:t xml:space="preserve">Χρόνιου αλκοολισμού, υπερβολικής κατανάλωσης αλκοόλ (3 ή περισσότερα αλκοολούχα ποτά κάθε ημέρα)  </w:t>
      </w:r>
    </w:p>
    <w:p w14:paraId="51AE1D18" w14:textId="77777777" w:rsidR="00F16F08" w:rsidRPr="002141F4" w:rsidRDefault="00F16F08" w:rsidP="00FF6CD5">
      <w:pPr>
        <w:widowControl/>
        <w:numPr>
          <w:ilvl w:val="0"/>
          <w:numId w:val="29"/>
        </w:numPr>
        <w:spacing w:line="360" w:lineRule="auto"/>
        <w:rPr>
          <w:szCs w:val="22"/>
          <w:lang w:eastAsia="zh-CN"/>
        </w:rPr>
      </w:pPr>
      <w:r w:rsidRPr="002141F4">
        <w:rPr>
          <w:szCs w:val="22"/>
          <w:lang w:eastAsia="zh-CN"/>
        </w:rPr>
        <w:t>Ανορεξίας, βουλιμίας ή καχεξίας, χρόνιας πλημμελούς θρέψης</w:t>
      </w:r>
      <w:r w:rsidR="00786AD6" w:rsidRPr="002141F4">
        <w:rPr>
          <w:szCs w:val="22"/>
          <w:lang w:eastAsia="zh-CN"/>
        </w:rPr>
        <w:t>,</w:t>
      </w:r>
      <w:r w:rsidRPr="002141F4">
        <w:rPr>
          <w:szCs w:val="22"/>
          <w:lang w:eastAsia="zh-CN"/>
        </w:rPr>
        <w:t xml:space="preserve"> </w:t>
      </w:r>
      <w:r w:rsidR="00786AD6" w:rsidRPr="002141F4">
        <w:rPr>
          <w:szCs w:val="22"/>
          <w:lang w:eastAsia="zh-CN"/>
        </w:rPr>
        <w:t xml:space="preserve">σηψαιμίας </w:t>
      </w:r>
      <w:r w:rsidRPr="002141F4">
        <w:rPr>
          <w:szCs w:val="22"/>
          <w:lang w:eastAsia="zh-CN"/>
        </w:rPr>
        <w:t xml:space="preserve">(χαμηλά αποθέματα ηπατικής γλουταθειόνης) </w:t>
      </w:r>
    </w:p>
    <w:p w14:paraId="1F9F0C58" w14:textId="77777777" w:rsidR="00F16F08" w:rsidRPr="002141F4" w:rsidRDefault="00F16F08" w:rsidP="00FF6CD5">
      <w:pPr>
        <w:widowControl/>
        <w:numPr>
          <w:ilvl w:val="0"/>
          <w:numId w:val="29"/>
        </w:numPr>
        <w:spacing w:line="360" w:lineRule="auto"/>
        <w:rPr>
          <w:szCs w:val="22"/>
          <w:lang w:eastAsia="zh-CN"/>
        </w:rPr>
      </w:pPr>
      <w:r w:rsidRPr="002141F4">
        <w:rPr>
          <w:szCs w:val="22"/>
          <w:lang w:eastAsia="zh-CN"/>
        </w:rPr>
        <w:t xml:space="preserve">Αφυδάτωσης, υποογκαιμίας </w:t>
      </w:r>
    </w:p>
    <w:p w14:paraId="33A951A7" w14:textId="4D8CE346" w:rsidR="00F16F08" w:rsidRPr="002141F4" w:rsidRDefault="00B1500D" w:rsidP="00FF6CD5">
      <w:pPr>
        <w:widowControl/>
        <w:numPr>
          <w:ilvl w:val="0"/>
          <w:numId w:val="29"/>
        </w:numPr>
        <w:spacing w:line="360" w:lineRule="auto"/>
        <w:rPr>
          <w:szCs w:val="22"/>
          <w:lang w:eastAsia="zh-CN"/>
        </w:rPr>
      </w:pPr>
      <w:r>
        <w:rPr>
          <w:szCs w:val="22"/>
          <w:lang w:eastAsia="zh-CN"/>
        </w:rPr>
        <w:t>Γυναικών</w:t>
      </w:r>
      <w:r w:rsidR="00F16F08" w:rsidRPr="002141F4">
        <w:rPr>
          <w:szCs w:val="22"/>
          <w:lang w:eastAsia="zh-CN"/>
        </w:rPr>
        <w:t xml:space="preserve"> κατά τη διάρκεια της εγκυμοσύνης και της γαλουχίας (βλ. παράγραφο 4.6)</w:t>
      </w:r>
    </w:p>
    <w:p w14:paraId="01AE4AAA" w14:textId="77777777" w:rsidR="00B1500D" w:rsidRDefault="00B1500D" w:rsidP="00E30D83">
      <w:pPr>
        <w:widowControl/>
        <w:spacing w:line="360" w:lineRule="auto"/>
        <w:ind w:left="720"/>
        <w:rPr>
          <w:szCs w:val="22"/>
          <w:lang w:eastAsia="zh-CN"/>
        </w:rPr>
      </w:pPr>
    </w:p>
    <w:p w14:paraId="16730AD1" w14:textId="77777777" w:rsidR="00F16F08" w:rsidRPr="002141F4" w:rsidRDefault="00F16F08" w:rsidP="00E30D83">
      <w:pPr>
        <w:widowControl/>
        <w:spacing w:line="360" w:lineRule="auto"/>
        <w:rPr>
          <w:szCs w:val="22"/>
          <w:lang w:eastAsia="zh-CN"/>
        </w:rPr>
      </w:pPr>
      <w:r w:rsidRPr="002141F4">
        <w:rPr>
          <w:szCs w:val="22"/>
          <w:lang w:eastAsia="zh-CN"/>
        </w:rPr>
        <w:t>Πρέπει να παρακολουθείται η ηπατική λειτουργία σε περιπτώσεις μακροχρόνιας χρήσης ή σε περιπτώσεις χορήγησης υψηλών δόσεων του φαρμάκου.</w:t>
      </w:r>
    </w:p>
    <w:p w14:paraId="5672AA1A" w14:textId="77777777" w:rsidR="00C704A6" w:rsidRPr="002141F4" w:rsidRDefault="00C704A6" w:rsidP="00FF6CD5">
      <w:pPr>
        <w:pStyle w:val="NoSpacing"/>
        <w:spacing w:line="360" w:lineRule="auto"/>
        <w:rPr>
          <w:noProof/>
          <w:szCs w:val="22"/>
        </w:rPr>
      </w:pPr>
    </w:p>
    <w:p w14:paraId="07F47E71" w14:textId="77777777" w:rsidR="00EC54A5" w:rsidRPr="002141F4" w:rsidRDefault="00EC54A5" w:rsidP="00FF6CD5">
      <w:pPr>
        <w:spacing w:line="360" w:lineRule="auto"/>
        <w:rPr>
          <w:i/>
          <w:noProof/>
          <w:szCs w:val="22"/>
        </w:rPr>
      </w:pPr>
      <w:r w:rsidRPr="002141F4">
        <w:rPr>
          <w:i/>
          <w:noProof/>
          <w:szCs w:val="22"/>
        </w:rPr>
        <w:t>Παιδιατρικός πληθυσμός</w:t>
      </w:r>
    </w:p>
    <w:p w14:paraId="49A3641B" w14:textId="77777777" w:rsidR="00EC54A5" w:rsidRPr="002141F4" w:rsidRDefault="00EC54A5" w:rsidP="00FF6CD5">
      <w:pPr>
        <w:spacing w:line="360" w:lineRule="auto"/>
        <w:rPr>
          <w:noProof/>
          <w:szCs w:val="22"/>
        </w:rPr>
      </w:pPr>
      <w:r w:rsidRPr="002141F4">
        <w:rPr>
          <w:noProof/>
          <w:szCs w:val="22"/>
        </w:rPr>
        <w:t>Σε παιδιά απαιτείται προσοχή</w:t>
      </w:r>
      <w:r w:rsidR="00B1500D">
        <w:rPr>
          <w:noProof/>
          <w:szCs w:val="22"/>
        </w:rPr>
        <w:t>,</w:t>
      </w:r>
      <w:r w:rsidRPr="002141F4">
        <w:rPr>
          <w:noProof/>
          <w:szCs w:val="22"/>
        </w:rPr>
        <w:t xml:space="preserve"> ώστε να μην υπερβαίνεται η συνιστώμενη δόση. Τα παιδιά είναι πιο ευαίσθητα σε περίπτωση υπερδοσολογίας. </w:t>
      </w:r>
    </w:p>
    <w:p w14:paraId="1C443C59" w14:textId="77777777" w:rsidR="00C75BFA" w:rsidRPr="002141F4" w:rsidRDefault="00C75BFA" w:rsidP="00FF6CD5">
      <w:pPr>
        <w:spacing w:line="360" w:lineRule="auto"/>
        <w:rPr>
          <w:noProof/>
          <w:szCs w:val="22"/>
        </w:rPr>
      </w:pPr>
    </w:p>
    <w:p w14:paraId="00CBE253" w14:textId="30F7DFE1" w:rsidR="00FB4698" w:rsidRPr="002141F4" w:rsidRDefault="00525884" w:rsidP="00FF6CD5">
      <w:pPr>
        <w:spacing w:line="360" w:lineRule="auto"/>
        <w:rPr>
          <w:noProof/>
          <w:szCs w:val="22"/>
        </w:rPr>
      </w:pPr>
      <w:r w:rsidRPr="002141F4">
        <w:rPr>
          <w:noProof/>
          <w:szCs w:val="22"/>
        </w:rPr>
        <w:t>Σε ασθενείς</w:t>
      </w:r>
      <w:r w:rsidRPr="002141F4">
        <w:rPr>
          <w:szCs w:val="22"/>
        </w:rPr>
        <w:t xml:space="preserve"> που βρίσκονται σε κατάσταση εξάντλησης των αποθεμάτων γλουταθειόνης,</w:t>
      </w:r>
      <w:r w:rsidR="000B30D5" w:rsidRPr="002141F4">
        <w:rPr>
          <w:noProof/>
          <w:szCs w:val="22"/>
        </w:rPr>
        <w:t xml:space="preserve"> </w:t>
      </w:r>
      <w:r w:rsidR="00FB4698" w:rsidRPr="002141F4">
        <w:rPr>
          <w:noProof/>
          <w:szCs w:val="22"/>
        </w:rPr>
        <w:t xml:space="preserve">η χρήση </w:t>
      </w:r>
      <w:r w:rsidR="00F36F4C" w:rsidRPr="002141F4">
        <w:rPr>
          <w:noProof/>
          <w:szCs w:val="22"/>
        </w:rPr>
        <w:t xml:space="preserve">της </w:t>
      </w:r>
      <w:r w:rsidR="00FB4698" w:rsidRPr="002141F4">
        <w:rPr>
          <w:noProof/>
          <w:szCs w:val="22"/>
        </w:rPr>
        <w:t>παρακεταμόλης μπορεί να αυξήσει τον κίνδυνο μεταβολικής οξέωσης.</w:t>
      </w:r>
    </w:p>
    <w:p w14:paraId="28B64246" w14:textId="77777777" w:rsidR="00786AD6" w:rsidRPr="002141F4" w:rsidRDefault="00786AD6" w:rsidP="00FF6CD5">
      <w:pPr>
        <w:spacing w:line="360" w:lineRule="auto"/>
        <w:rPr>
          <w:szCs w:val="22"/>
          <w:lang w:eastAsia="zh-CN"/>
        </w:rPr>
      </w:pPr>
    </w:p>
    <w:p w14:paraId="73195324" w14:textId="77777777" w:rsidR="00786AD6" w:rsidRPr="006142E0" w:rsidRDefault="00786AD6" w:rsidP="00FF6CD5">
      <w:pPr>
        <w:spacing w:line="360" w:lineRule="auto"/>
        <w:rPr>
          <w:szCs w:val="22"/>
        </w:rPr>
      </w:pPr>
      <w:r w:rsidRPr="002141F4">
        <w:rPr>
          <w:szCs w:val="22"/>
          <w:lang w:eastAsia="zh-CN"/>
        </w:rPr>
        <w:t>Συνιστάται προσοχή όταν η φλουκλοξακιλλίνη χορηγείται ταυτόχρονα με παρακεταμόλη, λόγω του αυξημένου κινδύνου μεταβολικής οξέωσης με αυξημένο χάσμα ανιόντων (</w:t>
      </w:r>
      <w:r w:rsidRPr="002141F4">
        <w:rPr>
          <w:szCs w:val="22"/>
          <w:lang w:val="en-GB" w:eastAsia="zh-CN"/>
        </w:rPr>
        <w:t>HAGMA</w:t>
      </w:r>
      <w:r w:rsidRPr="002141F4">
        <w:rPr>
          <w:szCs w:val="22"/>
          <w:lang w:eastAsia="zh-CN"/>
        </w:rPr>
        <w:t xml:space="preserve">). Οι ασθενείς με υψηλό κίνδυνο για </w:t>
      </w:r>
      <w:r w:rsidRPr="002141F4">
        <w:rPr>
          <w:szCs w:val="22"/>
          <w:lang w:val="en-GB" w:eastAsia="zh-CN"/>
        </w:rPr>
        <w:t>HAGMA</w:t>
      </w:r>
      <w:r w:rsidRPr="002141F4">
        <w:rPr>
          <w:szCs w:val="22"/>
          <w:lang w:eastAsia="zh-CN"/>
        </w:rPr>
        <w:t xml:space="preserve"> είναι κυρίως εκείνοι με σοβαρή νεφρική δυσλειτουργία, σήψη ή κακή διατροφή, ειδικότερα εάν έχουν χρησιμοποιηθεί οι υψηλότερες ημερήσιες δόσεις παρακεταμόλης. Μετά τη συγχορήγηση φλουκλοξακιλλίνης και παρακεταμόλης, συνιστάται στενή παρακολούθηση για τον εντοπισμό οξεοβασικών διαταραχών, συγκεκριμένα της </w:t>
      </w:r>
      <w:r w:rsidRPr="002141F4">
        <w:rPr>
          <w:szCs w:val="22"/>
          <w:lang w:val="en-GB" w:eastAsia="zh-CN"/>
        </w:rPr>
        <w:t>HAGMA</w:t>
      </w:r>
      <w:r w:rsidRPr="002141F4">
        <w:rPr>
          <w:szCs w:val="22"/>
          <w:lang w:eastAsia="zh-CN"/>
        </w:rPr>
        <w:t>, συμπεριλαμβανομένης της εξέτασης για 5-οξοπρολίνη στα ούρα</w:t>
      </w:r>
      <w:r w:rsidR="00B1500D">
        <w:rPr>
          <w:szCs w:val="22"/>
          <w:lang w:eastAsia="zh-CN"/>
        </w:rPr>
        <w:t>.</w:t>
      </w:r>
    </w:p>
    <w:p w14:paraId="2D977E02" w14:textId="77777777" w:rsidR="00D340F0" w:rsidRPr="002141F4" w:rsidRDefault="00D340F0" w:rsidP="00FF6CD5">
      <w:pPr>
        <w:spacing w:line="360" w:lineRule="auto"/>
        <w:rPr>
          <w:noProof/>
          <w:szCs w:val="22"/>
        </w:rPr>
      </w:pPr>
    </w:p>
    <w:p w14:paraId="27C9E094" w14:textId="77777777" w:rsidR="00D340F0" w:rsidRPr="002141F4" w:rsidRDefault="00D340F0" w:rsidP="00FF6CD5">
      <w:pPr>
        <w:spacing w:line="360" w:lineRule="auto"/>
        <w:rPr>
          <w:szCs w:val="22"/>
        </w:rPr>
      </w:pPr>
      <w:r w:rsidRPr="002141F4">
        <w:rPr>
          <w:szCs w:val="22"/>
        </w:rPr>
        <w:t>Εάν τα συμπτώματα επιμένουν, θα πρέπει να αναζητηθεί ιατρική συμβουλή.</w:t>
      </w:r>
    </w:p>
    <w:p w14:paraId="06B95D0B" w14:textId="77777777" w:rsidR="002B6615" w:rsidRPr="002141F4" w:rsidRDefault="002B6615" w:rsidP="00FF6CD5">
      <w:pPr>
        <w:spacing w:line="360" w:lineRule="auto"/>
        <w:rPr>
          <w:noProof/>
          <w:szCs w:val="22"/>
        </w:rPr>
      </w:pPr>
    </w:p>
    <w:p w14:paraId="58AAA236" w14:textId="77777777" w:rsidR="002B6615" w:rsidRPr="002141F4" w:rsidRDefault="002B6615" w:rsidP="00FF6CD5">
      <w:pPr>
        <w:spacing w:line="360" w:lineRule="auto"/>
        <w:rPr>
          <w:noProof/>
          <w:szCs w:val="22"/>
        </w:rPr>
      </w:pPr>
    </w:p>
    <w:p w14:paraId="251DD9B2" w14:textId="167FC669" w:rsidR="00BD2E32" w:rsidRPr="002141F4" w:rsidRDefault="00BD2E32" w:rsidP="00FF6CD5">
      <w:pPr>
        <w:spacing w:line="360" w:lineRule="auto"/>
        <w:rPr>
          <w:szCs w:val="22"/>
        </w:rPr>
      </w:pPr>
      <w:r w:rsidRPr="002141F4">
        <w:rPr>
          <w:noProof/>
          <w:szCs w:val="22"/>
        </w:rPr>
        <w:t xml:space="preserve">Το προϊόν αυτό περιέχει </w:t>
      </w:r>
      <w:r w:rsidR="00A24286">
        <w:rPr>
          <w:noProof/>
          <w:szCs w:val="22"/>
        </w:rPr>
        <w:t xml:space="preserve">υγρή </w:t>
      </w:r>
      <w:r w:rsidRPr="002141F4">
        <w:rPr>
          <w:noProof/>
          <w:szCs w:val="22"/>
        </w:rPr>
        <w:t>σορβιτόλη (E420).</w:t>
      </w:r>
      <w:r w:rsidRPr="002141F4">
        <w:rPr>
          <w:szCs w:val="22"/>
          <w:lang w:eastAsia="el-GR"/>
        </w:rPr>
        <w:t xml:space="preserve"> </w:t>
      </w:r>
      <w:r w:rsidR="0033081E" w:rsidRPr="002141F4">
        <w:rPr>
          <w:szCs w:val="22"/>
        </w:rPr>
        <w:t>Ασθενείς με κληρονομική δυσανεξία στη φρουκτόζη (HFI) δεν πρέπει να πάρουν</w:t>
      </w:r>
      <w:r w:rsidR="007A6EEC" w:rsidRPr="00E30D83">
        <w:rPr>
          <w:szCs w:val="22"/>
        </w:rPr>
        <w:t xml:space="preserve"> </w:t>
      </w:r>
      <w:r w:rsidR="0033081E" w:rsidRPr="002141F4">
        <w:rPr>
          <w:szCs w:val="22"/>
        </w:rPr>
        <w:t>ή να τους χορηγηθεί αυτό το φαρμακευτικό προϊόν. Η σορβιτόλη μπορεί να προκαλέσει γαστρεντερική δυσφορία και ήπια υπακτική δράση</w:t>
      </w:r>
      <w:r w:rsidR="00183603" w:rsidRPr="002141F4">
        <w:rPr>
          <w:szCs w:val="22"/>
        </w:rPr>
        <w:t>.</w:t>
      </w:r>
    </w:p>
    <w:p w14:paraId="66FC43F6" w14:textId="77777777" w:rsidR="005A5B68" w:rsidRPr="002141F4" w:rsidRDefault="005A5B68" w:rsidP="00FF6CD5">
      <w:pPr>
        <w:spacing w:line="360" w:lineRule="auto"/>
        <w:rPr>
          <w:noProof/>
          <w:szCs w:val="22"/>
        </w:rPr>
      </w:pPr>
      <w:r w:rsidRPr="002141F4">
        <w:rPr>
          <w:noProof/>
          <w:szCs w:val="22"/>
        </w:rPr>
        <w:t xml:space="preserve">Το προϊόν αυτό περιέχει </w:t>
      </w:r>
      <w:r w:rsidR="00A24286">
        <w:rPr>
          <w:noProof/>
          <w:szCs w:val="22"/>
        </w:rPr>
        <w:t xml:space="preserve">υγρή </w:t>
      </w:r>
      <w:r w:rsidRPr="002141F4">
        <w:rPr>
          <w:noProof/>
          <w:szCs w:val="22"/>
        </w:rPr>
        <w:t>μαλτιτόλη (E965).</w:t>
      </w:r>
      <w:r w:rsidRPr="006142E0">
        <w:rPr>
          <w:szCs w:val="22"/>
        </w:rPr>
        <w:t xml:space="preserve"> </w:t>
      </w:r>
      <w:r w:rsidRPr="002141F4">
        <w:rPr>
          <w:noProof/>
          <w:szCs w:val="22"/>
        </w:rPr>
        <w:t>Ασθενείς με σπάνια κληρονομικά προβλήματα δυσανεξίας στη φρουκτόζη δεν θα πρέπει να λαμβάνουν αυτό το φάρμακο.</w:t>
      </w:r>
    </w:p>
    <w:p w14:paraId="76C82368" w14:textId="4D4E9191" w:rsidR="009917A3" w:rsidRPr="002141F4" w:rsidRDefault="005A5B68" w:rsidP="00FF6CD5">
      <w:pPr>
        <w:spacing w:line="360" w:lineRule="auto"/>
        <w:rPr>
          <w:noProof/>
          <w:szCs w:val="22"/>
        </w:rPr>
      </w:pPr>
      <w:r w:rsidRPr="002141F4">
        <w:rPr>
          <w:noProof/>
          <w:szCs w:val="22"/>
        </w:rPr>
        <w:t xml:space="preserve">Το προϊόν αυτό περιέχει παραϋδροξυβενζοϊκό μεθυλεστέρα (Ε218) και παραϋδροξυβενζοϊκό προπυλεστέρα (Ε216) </w:t>
      </w:r>
      <w:r w:rsidR="00741442">
        <w:rPr>
          <w:noProof/>
          <w:szCs w:val="22"/>
        </w:rPr>
        <w:t>που</w:t>
      </w:r>
      <w:r w:rsidRPr="002141F4">
        <w:rPr>
          <w:noProof/>
          <w:szCs w:val="22"/>
        </w:rPr>
        <w:t xml:space="preserve"> μπορεί να προκαλέσουν αλλεργικές αντιδράσεις (πιθανώς με καθυστέρηση).</w:t>
      </w:r>
    </w:p>
    <w:p w14:paraId="77035453" w14:textId="77777777" w:rsidR="002D707A" w:rsidRDefault="001B29C1">
      <w:pPr>
        <w:spacing w:line="360" w:lineRule="auto"/>
        <w:rPr>
          <w:szCs w:val="22"/>
        </w:rPr>
      </w:pPr>
      <w:r w:rsidRPr="001B29C1">
        <w:rPr>
          <w:szCs w:val="22"/>
        </w:rPr>
        <w:lastRenderedPageBreak/>
        <w:t>Το φάρμακο αυτό περιέχει λιγότερο από 1 mmol</w:t>
      </w:r>
      <w:r w:rsidRPr="00E30D83">
        <w:rPr>
          <w:szCs w:val="22"/>
        </w:rPr>
        <w:t xml:space="preserve"> </w:t>
      </w:r>
      <w:r w:rsidRPr="001B29C1">
        <w:rPr>
          <w:szCs w:val="22"/>
        </w:rPr>
        <w:t xml:space="preserve">νατρίου (23 mg) ανά </w:t>
      </w:r>
      <w:r w:rsidRPr="00E30D83">
        <w:rPr>
          <w:szCs w:val="22"/>
        </w:rPr>
        <w:t xml:space="preserve">5 </w:t>
      </w:r>
      <w:r>
        <w:rPr>
          <w:szCs w:val="22"/>
          <w:lang w:val="en-US"/>
        </w:rPr>
        <w:t>ml</w:t>
      </w:r>
      <w:r w:rsidRPr="001B29C1">
        <w:rPr>
          <w:szCs w:val="22"/>
        </w:rPr>
        <w:t>, είναι αυτό που ονομάζουμε «ελεύθερο</w:t>
      </w:r>
      <w:r w:rsidRPr="00E30D83">
        <w:rPr>
          <w:szCs w:val="22"/>
        </w:rPr>
        <w:t xml:space="preserve"> </w:t>
      </w:r>
      <w:r w:rsidRPr="001B29C1">
        <w:rPr>
          <w:szCs w:val="22"/>
        </w:rPr>
        <w:t>νατρίου».</w:t>
      </w:r>
    </w:p>
    <w:p w14:paraId="55C6E49E" w14:textId="77777777" w:rsidR="001B29C1" w:rsidRPr="002141F4" w:rsidRDefault="001B29C1" w:rsidP="001B29C1">
      <w:pPr>
        <w:spacing w:line="360" w:lineRule="auto"/>
        <w:rPr>
          <w:szCs w:val="22"/>
        </w:rPr>
      </w:pPr>
    </w:p>
    <w:p w14:paraId="4A3D73F7" w14:textId="77777777" w:rsidR="00496809" w:rsidRPr="006142E0" w:rsidRDefault="00496809" w:rsidP="00FF6CD5">
      <w:pPr>
        <w:spacing w:line="360" w:lineRule="auto"/>
        <w:rPr>
          <w:b/>
          <w:szCs w:val="22"/>
        </w:rPr>
      </w:pPr>
      <w:r w:rsidRPr="002141F4">
        <w:rPr>
          <w:b/>
          <w:szCs w:val="22"/>
        </w:rPr>
        <w:t>4.5</w:t>
      </w:r>
      <w:r w:rsidRPr="002141F4">
        <w:rPr>
          <w:b/>
          <w:szCs w:val="22"/>
        </w:rPr>
        <w:tab/>
        <w:t>Αλληλεπιδράσεις με άλλα φαρμακευτικά προϊόντα και άλλες μορφές αλληλεπίδρασης</w:t>
      </w:r>
    </w:p>
    <w:p w14:paraId="32969A28" w14:textId="77777777" w:rsidR="00C26BEF" w:rsidRPr="002141F4" w:rsidRDefault="00C26BEF" w:rsidP="00FF6CD5">
      <w:pPr>
        <w:spacing w:line="360" w:lineRule="auto"/>
        <w:rPr>
          <w:szCs w:val="22"/>
        </w:rPr>
      </w:pPr>
    </w:p>
    <w:p w14:paraId="56A4B8B0" w14:textId="77777777" w:rsidR="00496809" w:rsidRPr="002141F4" w:rsidRDefault="00CD335D" w:rsidP="00FF6CD5">
      <w:pPr>
        <w:spacing w:line="360" w:lineRule="auto"/>
        <w:rPr>
          <w:szCs w:val="22"/>
        </w:rPr>
      </w:pPr>
      <w:r w:rsidRPr="002141F4">
        <w:rPr>
          <w:szCs w:val="22"/>
          <w:lang w:eastAsia="zh-CN"/>
        </w:rPr>
        <w:t>Η σαλικυλαμίδη ενδέχεται να παρατείνει τον χρόνο ημιζωής (</w:t>
      </w:r>
      <w:r w:rsidRPr="002141F4">
        <w:rPr>
          <w:szCs w:val="22"/>
          <w:lang w:val="en-GB" w:eastAsia="zh-CN"/>
        </w:rPr>
        <w:t>t</w:t>
      </w:r>
      <w:r w:rsidRPr="002141F4">
        <w:rPr>
          <w:szCs w:val="22"/>
          <w:lang w:eastAsia="zh-CN"/>
        </w:rPr>
        <w:t>½) της αποβολής της παρακεταμόλης</w:t>
      </w:r>
      <w:r w:rsidR="008C4690" w:rsidRPr="002141F4">
        <w:rPr>
          <w:szCs w:val="22"/>
          <w:lang w:eastAsia="zh-CN"/>
        </w:rPr>
        <w:t>.</w:t>
      </w:r>
    </w:p>
    <w:p w14:paraId="084E0EB5" w14:textId="77777777" w:rsidR="00A66E4E" w:rsidRPr="002141F4" w:rsidRDefault="00A66E4E" w:rsidP="00FF6CD5">
      <w:pPr>
        <w:spacing w:line="360" w:lineRule="auto"/>
        <w:rPr>
          <w:noProof/>
          <w:szCs w:val="22"/>
        </w:rPr>
      </w:pPr>
      <w:r w:rsidRPr="002141F4">
        <w:rPr>
          <w:noProof/>
          <w:szCs w:val="22"/>
        </w:rPr>
        <w:t xml:space="preserve">Η χολεστυραμίνη μειώνει την απορρόφηση της παρακεταμόλης, ενώ η μετοκλοπραμίδη και η </w:t>
      </w:r>
      <w:r w:rsidR="00CD335D" w:rsidRPr="002141F4">
        <w:rPr>
          <w:noProof/>
          <w:szCs w:val="22"/>
        </w:rPr>
        <w:t xml:space="preserve">δομπεριδόνη </w:t>
      </w:r>
      <w:r w:rsidRPr="002141F4">
        <w:rPr>
          <w:noProof/>
          <w:szCs w:val="22"/>
        </w:rPr>
        <w:t>αυξάνουν</w:t>
      </w:r>
      <w:r w:rsidR="00CD335D" w:rsidRPr="002141F4">
        <w:rPr>
          <w:noProof/>
          <w:szCs w:val="22"/>
        </w:rPr>
        <w:t xml:space="preserve"> </w:t>
      </w:r>
      <w:r w:rsidR="00CD335D" w:rsidRPr="002141F4">
        <w:rPr>
          <w:szCs w:val="22"/>
          <w:lang w:eastAsia="zh-CN"/>
        </w:rPr>
        <w:t>το</w:t>
      </w:r>
      <w:r w:rsidR="00741442">
        <w:rPr>
          <w:szCs w:val="22"/>
          <w:lang w:eastAsia="zh-CN"/>
        </w:rPr>
        <w:t>ν</w:t>
      </w:r>
      <w:r w:rsidR="00CD335D" w:rsidRPr="002141F4">
        <w:rPr>
          <w:szCs w:val="22"/>
          <w:lang w:eastAsia="zh-CN"/>
        </w:rPr>
        <w:t xml:space="preserve"> ρυθμό απορρόφησης της παρακεταμόλης</w:t>
      </w:r>
      <w:r w:rsidR="00CD335D" w:rsidRPr="002141F4">
        <w:rPr>
          <w:szCs w:val="22"/>
          <w:lang w:eastAsia="el-GR"/>
        </w:rPr>
        <w:t>.</w:t>
      </w:r>
    </w:p>
    <w:p w14:paraId="3596F645" w14:textId="77777777" w:rsidR="00A66E4E" w:rsidRPr="002141F4" w:rsidRDefault="00CD335D" w:rsidP="00FF6CD5">
      <w:pPr>
        <w:spacing w:line="360" w:lineRule="auto"/>
        <w:rPr>
          <w:noProof/>
          <w:szCs w:val="22"/>
        </w:rPr>
      </w:pPr>
      <w:r w:rsidRPr="002141F4">
        <w:rPr>
          <w:szCs w:val="22"/>
          <w:lang w:eastAsia="zh-CN"/>
        </w:rPr>
        <w:t xml:space="preserve">Πρέπει να εφιστάται η προσοχή </w:t>
      </w:r>
      <w:r w:rsidRPr="002141F4">
        <w:rPr>
          <w:noProof/>
          <w:szCs w:val="22"/>
        </w:rPr>
        <w:t xml:space="preserve">κατά την </w:t>
      </w:r>
      <w:r w:rsidR="00A66E4E" w:rsidRPr="002141F4">
        <w:rPr>
          <w:noProof/>
          <w:szCs w:val="22"/>
        </w:rPr>
        <w:t>ταυτόχρονη λήψη φαρμάκων που είναι επαγω</w:t>
      </w:r>
      <w:r w:rsidR="00C926F6" w:rsidRPr="002141F4">
        <w:rPr>
          <w:noProof/>
          <w:szCs w:val="22"/>
        </w:rPr>
        <w:t xml:space="preserve">γείς των ηπατικών ενζύμων </w:t>
      </w:r>
      <w:r w:rsidR="00525884" w:rsidRPr="002141F4">
        <w:rPr>
          <w:noProof/>
          <w:szCs w:val="22"/>
        </w:rPr>
        <w:t>(</w:t>
      </w:r>
      <w:r w:rsidR="00C926F6" w:rsidRPr="002141F4">
        <w:rPr>
          <w:noProof/>
          <w:szCs w:val="22"/>
        </w:rPr>
        <w:t>π.χ. φαινοβαρβιτάλη</w:t>
      </w:r>
      <w:r w:rsidRPr="002141F4">
        <w:rPr>
          <w:noProof/>
          <w:szCs w:val="22"/>
        </w:rPr>
        <w:t>,</w:t>
      </w:r>
      <w:r w:rsidRPr="002141F4">
        <w:rPr>
          <w:szCs w:val="22"/>
          <w:lang w:eastAsia="el-GR"/>
        </w:rPr>
        <w:t xml:space="preserve"> ισονιαζίδη, καρβαμαζεπίνη, ριφαμπ</w:t>
      </w:r>
      <w:r w:rsidR="00F7752B">
        <w:rPr>
          <w:szCs w:val="22"/>
          <w:lang w:eastAsia="el-GR"/>
        </w:rPr>
        <w:t>ικ</w:t>
      </w:r>
      <w:r w:rsidRPr="002141F4">
        <w:rPr>
          <w:szCs w:val="22"/>
          <w:lang w:eastAsia="el-GR"/>
        </w:rPr>
        <w:t>ίνη κλπ</w:t>
      </w:r>
      <w:r w:rsidR="00525884" w:rsidRPr="002141F4">
        <w:rPr>
          <w:noProof/>
          <w:szCs w:val="22"/>
        </w:rPr>
        <w:t>)</w:t>
      </w:r>
      <w:r w:rsidR="00A66E4E" w:rsidRPr="002141F4">
        <w:rPr>
          <w:noProof/>
          <w:szCs w:val="22"/>
        </w:rPr>
        <w:t xml:space="preserve"> ή μπορεί να δράσουν ηπατοτοξικά (π.χ. ΜΣΑΦ, ιντερφερόνες)</w:t>
      </w:r>
      <w:r w:rsidR="00741442">
        <w:rPr>
          <w:noProof/>
          <w:szCs w:val="22"/>
        </w:rPr>
        <w:t>,</w:t>
      </w:r>
      <w:r w:rsidR="00A66E4E" w:rsidRPr="002141F4">
        <w:rPr>
          <w:noProof/>
          <w:szCs w:val="22"/>
        </w:rPr>
        <w:t xml:space="preserve"> </w:t>
      </w:r>
      <w:r w:rsidR="000B30D5" w:rsidRPr="002141F4">
        <w:rPr>
          <w:noProof/>
          <w:szCs w:val="22"/>
        </w:rPr>
        <w:t xml:space="preserve">καθώς </w:t>
      </w:r>
      <w:r w:rsidR="00A66E4E" w:rsidRPr="002141F4">
        <w:rPr>
          <w:noProof/>
          <w:szCs w:val="22"/>
        </w:rPr>
        <w:t xml:space="preserve">αυξάνεται ο κίνδυνος ηπατικής βλάβης. </w:t>
      </w:r>
    </w:p>
    <w:p w14:paraId="7B727799" w14:textId="77777777" w:rsidR="00A66E4E" w:rsidRPr="002141F4" w:rsidRDefault="00F4491A" w:rsidP="00FF6CD5">
      <w:pPr>
        <w:spacing w:line="360" w:lineRule="auto"/>
        <w:rPr>
          <w:noProof/>
          <w:szCs w:val="22"/>
        </w:rPr>
      </w:pPr>
      <w:r w:rsidRPr="002141F4">
        <w:rPr>
          <w:noProof/>
          <w:szCs w:val="22"/>
        </w:rPr>
        <w:t>Σε α</w:t>
      </w:r>
      <w:r w:rsidR="00A66E4E" w:rsidRPr="002141F4">
        <w:rPr>
          <w:noProof/>
          <w:szCs w:val="22"/>
        </w:rPr>
        <w:t>σθενείς που παίρνουν βαρβιτουρικά, τρικυκλικά αντικαταθλιπτικά και αλκοόλη μπορεί να εμφαν</w:t>
      </w:r>
      <w:r w:rsidRPr="002141F4">
        <w:rPr>
          <w:noProof/>
          <w:szCs w:val="22"/>
        </w:rPr>
        <w:t>ιστεί</w:t>
      </w:r>
      <w:r w:rsidR="00A66E4E" w:rsidRPr="002141F4">
        <w:rPr>
          <w:noProof/>
          <w:szCs w:val="22"/>
        </w:rPr>
        <w:t xml:space="preserve"> διαταραχ</w:t>
      </w:r>
      <w:r w:rsidRPr="002141F4">
        <w:rPr>
          <w:noProof/>
          <w:szCs w:val="22"/>
        </w:rPr>
        <w:t>ή</w:t>
      </w:r>
      <w:r w:rsidR="00A66E4E" w:rsidRPr="002141F4">
        <w:rPr>
          <w:noProof/>
          <w:szCs w:val="22"/>
        </w:rPr>
        <w:t xml:space="preserve"> μεταβολισμού </w:t>
      </w:r>
      <w:r w:rsidRPr="002141F4">
        <w:rPr>
          <w:noProof/>
          <w:szCs w:val="22"/>
        </w:rPr>
        <w:t>της</w:t>
      </w:r>
      <w:r w:rsidR="00A66E4E" w:rsidRPr="002141F4">
        <w:rPr>
          <w:noProof/>
          <w:szCs w:val="22"/>
        </w:rPr>
        <w:t xml:space="preserve"> παρακεταμόλης </w:t>
      </w:r>
      <w:r w:rsidRPr="002141F4">
        <w:rPr>
          <w:noProof/>
          <w:szCs w:val="22"/>
        </w:rPr>
        <w:t xml:space="preserve">μετά τη λήψη μεγάλων δόσεων </w:t>
      </w:r>
      <w:r w:rsidR="00A66E4E" w:rsidRPr="002141F4">
        <w:rPr>
          <w:noProof/>
          <w:szCs w:val="22"/>
        </w:rPr>
        <w:t>και να αυξ</w:t>
      </w:r>
      <w:r w:rsidRPr="002141F4">
        <w:rPr>
          <w:noProof/>
          <w:szCs w:val="22"/>
        </w:rPr>
        <w:t>ηθεί</w:t>
      </w:r>
      <w:r w:rsidR="00A66E4E" w:rsidRPr="002141F4">
        <w:rPr>
          <w:noProof/>
          <w:szCs w:val="22"/>
        </w:rPr>
        <w:t xml:space="preserve"> ο χρόνο</w:t>
      </w:r>
      <w:r w:rsidRPr="002141F4">
        <w:rPr>
          <w:noProof/>
          <w:szCs w:val="22"/>
        </w:rPr>
        <w:t>ς</w:t>
      </w:r>
      <w:r w:rsidR="00A66E4E" w:rsidRPr="002141F4">
        <w:rPr>
          <w:noProof/>
          <w:szCs w:val="22"/>
        </w:rPr>
        <w:t xml:space="preserve"> ημιζωής της στο πλάσμα. </w:t>
      </w:r>
    </w:p>
    <w:p w14:paraId="7163342C" w14:textId="77777777" w:rsidR="00A66E4E" w:rsidRPr="002141F4" w:rsidRDefault="00A66E4E" w:rsidP="00FF6CD5">
      <w:pPr>
        <w:spacing w:line="360" w:lineRule="auto"/>
        <w:rPr>
          <w:noProof/>
          <w:szCs w:val="22"/>
        </w:rPr>
      </w:pPr>
      <w:r w:rsidRPr="002141F4">
        <w:rPr>
          <w:noProof/>
          <w:szCs w:val="22"/>
        </w:rPr>
        <w:t>Η προβενεσίδη μπορεί να</w:t>
      </w:r>
      <w:r w:rsidR="00CD335D" w:rsidRPr="002141F4">
        <w:rPr>
          <w:noProof/>
          <w:szCs w:val="22"/>
        </w:rPr>
        <w:t xml:space="preserve"> </w:t>
      </w:r>
      <w:r w:rsidR="00CD335D" w:rsidRPr="002141F4">
        <w:rPr>
          <w:szCs w:val="22"/>
          <w:lang w:eastAsia="zh-CN"/>
        </w:rPr>
        <w:t>προκαλέσει σχεδόν διπλάσια μείωση στην κάθαρση της παρακεταμόλης αναστέλλοντας τη σύζευξή της µε το γλυκουρονικό οξύ. Πρέπει να εξετάζεται το ενδεχόμενο μείωσης της δόσης της παρακεταμόλης όταν αυτή χορηγείται ταυτόχρονα με προβενεσίδη.</w:t>
      </w:r>
      <w:r w:rsidRPr="002141F4">
        <w:rPr>
          <w:noProof/>
          <w:szCs w:val="22"/>
        </w:rPr>
        <w:t xml:space="preserve"> </w:t>
      </w:r>
    </w:p>
    <w:p w14:paraId="05D5651D" w14:textId="77777777" w:rsidR="00CD335D" w:rsidRPr="002141F4" w:rsidRDefault="00CD335D" w:rsidP="00FF6CD5">
      <w:pPr>
        <w:widowControl/>
        <w:spacing w:line="360" w:lineRule="auto"/>
        <w:rPr>
          <w:szCs w:val="22"/>
          <w:lang w:eastAsia="zh-CN"/>
        </w:rPr>
      </w:pPr>
    </w:p>
    <w:p w14:paraId="6694B704" w14:textId="77777777" w:rsidR="00CD335D" w:rsidRPr="002141F4" w:rsidRDefault="00CD335D" w:rsidP="00FF6CD5">
      <w:pPr>
        <w:widowControl/>
        <w:spacing w:line="360" w:lineRule="auto"/>
        <w:rPr>
          <w:szCs w:val="22"/>
          <w:lang w:eastAsia="zh-CN"/>
        </w:rPr>
      </w:pPr>
      <w:r w:rsidRPr="002141F4">
        <w:rPr>
          <w:szCs w:val="22"/>
          <w:lang w:eastAsia="zh-CN"/>
        </w:rPr>
        <w:t>Σύγχρονη χορήγηση παρακεταμόλης με κουμαρίνες, συμπεριλαμβανομένης της βαρφαρίνης, μπορεί να οδηγήσει σε μικρές τροποποιήσεις των τιμών της Διεθνούς Ομαλοποιημένης Σχέσης (</w:t>
      </w:r>
      <w:r w:rsidRPr="002141F4">
        <w:rPr>
          <w:szCs w:val="22"/>
          <w:lang w:val="en-GB" w:eastAsia="zh-CN"/>
        </w:rPr>
        <w:t>INR</w:t>
      </w:r>
      <w:r w:rsidRPr="002141F4">
        <w:rPr>
          <w:szCs w:val="22"/>
          <w:lang w:eastAsia="zh-CN"/>
        </w:rPr>
        <w:t>). Σε αυτήν την περίπτωση, πρέπει να διενεργείται αυξημένη παρακολούθηση των τιμών της Διεθνούς Ομαλοποιημένης Σχέσης (</w:t>
      </w:r>
      <w:r w:rsidRPr="002141F4">
        <w:rPr>
          <w:szCs w:val="22"/>
          <w:lang w:val="en-GB" w:eastAsia="zh-CN"/>
        </w:rPr>
        <w:t>INR</w:t>
      </w:r>
      <w:r w:rsidRPr="002141F4">
        <w:rPr>
          <w:szCs w:val="22"/>
          <w:lang w:eastAsia="zh-CN"/>
        </w:rPr>
        <w:t>) κατά την περίοδο της ταυτόχρονης χρήσης καθώς και για μία εβδομάδα μετά τη διακοπή της θεραπείας με παρακεταμόλη.</w:t>
      </w:r>
    </w:p>
    <w:p w14:paraId="723DF81B" w14:textId="77777777" w:rsidR="00A66E4E" w:rsidRPr="002141F4" w:rsidRDefault="00A66E4E" w:rsidP="00FF6CD5">
      <w:pPr>
        <w:spacing w:line="360" w:lineRule="auto"/>
        <w:rPr>
          <w:noProof/>
          <w:szCs w:val="22"/>
        </w:rPr>
      </w:pPr>
    </w:p>
    <w:p w14:paraId="4E6413FA" w14:textId="77777777" w:rsidR="00A66E4E" w:rsidRPr="002141F4" w:rsidRDefault="00A66E4E" w:rsidP="00FF6CD5">
      <w:pPr>
        <w:spacing w:line="360" w:lineRule="auto"/>
        <w:rPr>
          <w:noProof/>
          <w:szCs w:val="22"/>
        </w:rPr>
      </w:pPr>
      <w:r w:rsidRPr="002141F4">
        <w:rPr>
          <w:noProof/>
          <w:szCs w:val="22"/>
        </w:rPr>
        <w:t>Η παρακεταμόλη μειώνει τη βιοδιαθεσιμότητα της λαμοτριγίνης</w:t>
      </w:r>
      <w:r w:rsidR="00E53DCF">
        <w:rPr>
          <w:noProof/>
          <w:szCs w:val="22"/>
        </w:rPr>
        <w:t>,</w:t>
      </w:r>
      <w:r w:rsidRPr="002141F4">
        <w:rPr>
          <w:noProof/>
          <w:szCs w:val="22"/>
        </w:rPr>
        <w:t xml:space="preserve"> χωρίς όμως να είναι σαφής η κλινική σημασία της. </w:t>
      </w:r>
    </w:p>
    <w:p w14:paraId="705F3482" w14:textId="77777777" w:rsidR="00A66E4E" w:rsidRPr="002141F4" w:rsidRDefault="00A66E4E" w:rsidP="00FF6CD5">
      <w:pPr>
        <w:spacing w:line="360" w:lineRule="auto"/>
        <w:rPr>
          <w:noProof/>
          <w:szCs w:val="22"/>
        </w:rPr>
      </w:pPr>
      <w:r w:rsidRPr="002141F4">
        <w:rPr>
          <w:noProof/>
          <w:szCs w:val="22"/>
        </w:rPr>
        <w:t xml:space="preserve">Το αλκοόλ μπορεί να αυξήσει την ηπατοτοξικότητα της παρακεταμόλης κατά την υπερδοσολογία. </w:t>
      </w:r>
    </w:p>
    <w:p w14:paraId="0F6E6580" w14:textId="77777777" w:rsidR="000B30D5" w:rsidRPr="002141F4" w:rsidRDefault="000B30D5" w:rsidP="00FF6CD5">
      <w:pPr>
        <w:spacing w:line="360" w:lineRule="auto"/>
        <w:rPr>
          <w:noProof/>
          <w:szCs w:val="22"/>
        </w:rPr>
      </w:pPr>
      <w:r w:rsidRPr="002141F4">
        <w:rPr>
          <w:szCs w:val="22"/>
          <w:lang w:eastAsia="el-GR"/>
        </w:rPr>
        <w:t>Η ταυτόχρονη χορήγηση φαινυτοΐνης μπορεί να οδηγήσει στη μείωση της αποτελεσματικότητας της παρακεταμόλης και σε αυξημένο κίνδυνο ηπατοτοξικότητας. Οι ασθενείς που λαμβάνουν θεραπεία με φαινυτοΐνη πρέπει να αποφεύγουν υψηλές και/ή χρόνιες δόσεις παρακεταμόλης. Οι ασθενείς πρέπει να παρακολουθούνται για ενδείξεις ηπατοτοξικότητας</w:t>
      </w:r>
      <w:r w:rsidR="008C4690" w:rsidRPr="002141F4">
        <w:rPr>
          <w:szCs w:val="22"/>
          <w:lang w:eastAsia="el-GR"/>
        </w:rPr>
        <w:t>.</w:t>
      </w:r>
    </w:p>
    <w:p w14:paraId="1938A629" w14:textId="77777777" w:rsidR="00A66E4E" w:rsidRPr="002141F4" w:rsidRDefault="00F4491A" w:rsidP="00FF6CD5">
      <w:pPr>
        <w:spacing w:line="360" w:lineRule="auto"/>
        <w:rPr>
          <w:noProof/>
          <w:szCs w:val="22"/>
        </w:rPr>
      </w:pPr>
      <w:r w:rsidRPr="002141F4">
        <w:rPr>
          <w:noProof/>
          <w:szCs w:val="22"/>
        </w:rPr>
        <w:t>Η χ</w:t>
      </w:r>
      <w:r w:rsidR="00A66E4E" w:rsidRPr="002141F4">
        <w:rPr>
          <w:noProof/>
          <w:szCs w:val="22"/>
        </w:rPr>
        <w:t>ρόνια λήψη αντιεπιληπτικών ή στεροειδών αντισυλληπτικών από το στόμα επηρεάζ</w:t>
      </w:r>
      <w:r w:rsidRPr="002141F4">
        <w:rPr>
          <w:noProof/>
          <w:szCs w:val="22"/>
        </w:rPr>
        <w:t>ει</w:t>
      </w:r>
      <w:r w:rsidR="00A66E4E" w:rsidRPr="002141F4">
        <w:rPr>
          <w:noProof/>
          <w:szCs w:val="22"/>
        </w:rPr>
        <w:t xml:space="preserve"> τα ηπατικά ένζυμα και μπορεί να εμποδίσ</w:t>
      </w:r>
      <w:r w:rsidRPr="002141F4">
        <w:rPr>
          <w:noProof/>
          <w:szCs w:val="22"/>
        </w:rPr>
        <w:t>ει</w:t>
      </w:r>
      <w:r w:rsidR="00A66E4E" w:rsidRPr="002141F4">
        <w:rPr>
          <w:noProof/>
          <w:szCs w:val="22"/>
        </w:rPr>
        <w:t xml:space="preserve"> την επίτευξη θεραπευτικών επιπέδων στο πλάσμα αυξάνοντας το</w:t>
      </w:r>
      <w:r w:rsidR="00E53DCF">
        <w:rPr>
          <w:noProof/>
          <w:szCs w:val="22"/>
        </w:rPr>
        <w:t>ν</w:t>
      </w:r>
      <w:r w:rsidR="00A66E4E" w:rsidRPr="002141F4">
        <w:rPr>
          <w:noProof/>
          <w:szCs w:val="22"/>
        </w:rPr>
        <w:t xml:space="preserve"> μεταβολισμό πρώτης διόδου ή την αποβολή.</w:t>
      </w:r>
    </w:p>
    <w:p w14:paraId="2D4B3163" w14:textId="77777777" w:rsidR="00C46485" w:rsidRPr="006142E0" w:rsidRDefault="00C46485" w:rsidP="00FF6CD5">
      <w:pPr>
        <w:spacing w:line="360" w:lineRule="auto"/>
        <w:rPr>
          <w:szCs w:val="22"/>
        </w:rPr>
      </w:pPr>
    </w:p>
    <w:p w14:paraId="38B2692C" w14:textId="77777777" w:rsidR="00A66E4E" w:rsidRDefault="00A66E4E" w:rsidP="00FF6CD5">
      <w:pPr>
        <w:spacing w:line="360" w:lineRule="auto"/>
        <w:rPr>
          <w:noProof/>
          <w:szCs w:val="22"/>
        </w:rPr>
      </w:pPr>
      <w:r w:rsidRPr="002141F4">
        <w:rPr>
          <w:noProof/>
          <w:szCs w:val="22"/>
          <w:u w:val="single"/>
        </w:rPr>
        <w:t>Εργαστηριακές εξετάσεις:</w:t>
      </w:r>
      <w:r w:rsidRPr="002141F4">
        <w:rPr>
          <w:noProof/>
          <w:szCs w:val="22"/>
        </w:rPr>
        <w:t xml:space="preserve"> Η παρακεταμόλη μπορεί να δώσει ψευδή αποτελέσματα ουρικού οξέος στο αίμα με τη μέθοδο του φωσφοροβολφραμικού οξέος και της γλυκόζης με τη μέθοδο οξειδάσης - υπεροξειδάσης.</w:t>
      </w:r>
    </w:p>
    <w:p w14:paraId="2F799E64" w14:textId="77777777" w:rsidR="00E53DCF" w:rsidRPr="002141F4" w:rsidRDefault="00E53DCF" w:rsidP="00FF6CD5">
      <w:pPr>
        <w:spacing w:line="360" w:lineRule="auto"/>
        <w:rPr>
          <w:noProof/>
          <w:szCs w:val="22"/>
        </w:rPr>
      </w:pPr>
    </w:p>
    <w:p w14:paraId="67BE4143" w14:textId="77777777" w:rsidR="00CD335D" w:rsidRPr="002141F4" w:rsidRDefault="00CD335D" w:rsidP="00FF6CD5">
      <w:pPr>
        <w:widowControl/>
        <w:spacing w:line="360" w:lineRule="auto"/>
        <w:rPr>
          <w:szCs w:val="22"/>
          <w:lang w:eastAsia="zh-CN"/>
        </w:rPr>
      </w:pPr>
      <w:r w:rsidRPr="002141F4">
        <w:rPr>
          <w:szCs w:val="22"/>
          <w:lang w:eastAsia="zh-CN"/>
        </w:rPr>
        <w:t>Φλουκλοξακιλλίνη: Συνιστάται προσοχή όταν η παρακεταμόλη χορηγείται ταυτόχρονα με φλουκλοξακιλλίνη, καθώς η ταυτόχρονη χορήγηση έχει συσχετιστεί με μεταβολική οξέωση με αυξημένο χάσμα ανιόντων (</w:t>
      </w:r>
      <w:r w:rsidRPr="002141F4">
        <w:rPr>
          <w:szCs w:val="22"/>
          <w:lang w:val="en-GB" w:eastAsia="zh-CN"/>
        </w:rPr>
        <w:t>HAGMA</w:t>
      </w:r>
      <w:r w:rsidRPr="002141F4">
        <w:rPr>
          <w:szCs w:val="22"/>
          <w:lang w:eastAsia="zh-CN"/>
        </w:rPr>
        <w:t>), ειδικότερα σε ασθενείς με παράγοντες κινδύνου (βλ. παράγραφο 4.4).</w:t>
      </w:r>
    </w:p>
    <w:p w14:paraId="08DA8681" w14:textId="77777777" w:rsidR="00496809" w:rsidRPr="002141F4" w:rsidRDefault="00496809" w:rsidP="00FF6CD5">
      <w:pPr>
        <w:spacing w:line="360" w:lineRule="auto"/>
        <w:rPr>
          <w:szCs w:val="22"/>
        </w:rPr>
      </w:pPr>
    </w:p>
    <w:p w14:paraId="4266AA33" w14:textId="77777777" w:rsidR="00496809" w:rsidRPr="002141F4" w:rsidRDefault="00496809" w:rsidP="00FF6CD5">
      <w:pPr>
        <w:spacing w:line="360" w:lineRule="auto"/>
        <w:rPr>
          <w:szCs w:val="22"/>
        </w:rPr>
      </w:pPr>
      <w:r w:rsidRPr="002141F4">
        <w:rPr>
          <w:b/>
          <w:szCs w:val="22"/>
        </w:rPr>
        <w:t>4.6</w:t>
      </w:r>
      <w:r w:rsidRPr="002141F4">
        <w:rPr>
          <w:b/>
          <w:szCs w:val="22"/>
        </w:rPr>
        <w:tab/>
      </w:r>
      <w:r w:rsidR="00056716" w:rsidRPr="002141F4">
        <w:rPr>
          <w:b/>
          <w:noProof/>
          <w:szCs w:val="22"/>
        </w:rPr>
        <w:t>Γονιμότητα, κ</w:t>
      </w:r>
      <w:r w:rsidRPr="002141F4">
        <w:rPr>
          <w:b/>
          <w:szCs w:val="22"/>
        </w:rPr>
        <w:t>ύηση και γαλουχία</w:t>
      </w:r>
    </w:p>
    <w:p w14:paraId="779C4E3A" w14:textId="77777777" w:rsidR="00F513BA" w:rsidRPr="006142E0" w:rsidRDefault="00F513BA" w:rsidP="00FF6CD5">
      <w:pPr>
        <w:spacing w:line="360" w:lineRule="auto"/>
        <w:rPr>
          <w:szCs w:val="22"/>
        </w:rPr>
      </w:pPr>
    </w:p>
    <w:p w14:paraId="4271EFE5" w14:textId="77777777" w:rsidR="00E642A1" w:rsidRPr="00E30D83" w:rsidRDefault="0033588E" w:rsidP="00FF6CD5">
      <w:pPr>
        <w:spacing w:line="360" w:lineRule="auto"/>
        <w:rPr>
          <w:noProof/>
          <w:szCs w:val="22"/>
          <w:u w:val="single"/>
        </w:rPr>
      </w:pPr>
      <w:r w:rsidRPr="00E30D83">
        <w:rPr>
          <w:szCs w:val="22"/>
          <w:u w:val="single"/>
        </w:rPr>
        <w:t>Κύηση</w:t>
      </w:r>
    </w:p>
    <w:p w14:paraId="280D0287" w14:textId="5A3350CD" w:rsidR="00525884" w:rsidRPr="002141F4" w:rsidRDefault="00494123" w:rsidP="00FF6CD5">
      <w:pPr>
        <w:widowControl/>
        <w:spacing w:line="360" w:lineRule="auto"/>
        <w:rPr>
          <w:szCs w:val="22"/>
          <w:lang w:eastAsia="el-GR"/>
        </w:rPr>
      </w:pPr>
      <w:r w:rsidRPr="002141F4">
        <w:rPr>
          <w:szCs w:val="22"/>
          <w:lang w:eastAsia="el-GR"/>
        </w:rPr>
        <w:t>Ο</w:t>
      </w:r>
      <w:r w:rsidR="00525884" w:rsidRPr="002141F4">
        <w:rPr>
          <w:szCs w:val="22"/>
          <w:lang w:eastAsia="el-GR"/>
        </w:rPr>
        <w:t>ι έγκυες γυναίκες</w:t>
      </w:r>
      <w:r w:rsidR="006E441A" w:rsidRPr="002141F4">
        <w:rPr>
          <w:szCs w:val="22"/>
          <w:lang w:eastAsia="el-GR"/>
        </w:rPr>
        <w:t xml:space="preserve">, ιδιαίτερα κατά το πρώτο τρίμηνο, </w:t>
      </w:r>
      <w:r w:rsidR="00525884" w:rsidRPr="002141F4">
        <w:rPr>
          <w:szCs w:val="22"/>
          <w:lang w:eastAsia="el-GR"/>
        </w:rPr>
        <w:t>πρέπει να συμβουλεύονται το</w:t>
      </w:r>
      <w:r w:rsidR="00E53DCF">
        <w:rPr>
          <w:szCs w:val="22"/>
          <w:lang w:eastAsia="el-GR"/>
        </w:rPr>
        <w:t>ν</w:t>
      </w:r>
      <w:r w:rsidR="00525884" w:rsidRPr="002141F4">
        <w:rPr>
          <w:szCs w:val="22"/>
          <w:lang w:eastAsia="el-GR"/>
        </w:rPr>
        <w:t xml:space="preserve"> γιατρό τους προτού λάβουν παρακεταμόλη</w:t>
      </w:r>
      <w:r w:rsidRPr="002141F4">
        <w:rPr>
          <w:szCs w:val="22"/>
          <w:lang w:eastAsia="el-GR"/>
        </w:rPr>
        <w:t>, όπως απαιτείται με τη χρήση οποιουδήποτε φαρμάκου κατά τη διάρκεια της κύησης</w:t>
      </w:r>
      <w:r w:rsidR="00525884" w:rsidRPr="002141F4">
        <w:rPr>
          <w:szCs w:val="22"/>
          <w:lang w:eastAsia="el-GR"/>
        </w:rPr>
        <w:t>.</w:t>
      </w:r>
    </w:p>
    <w:p w14:paraId="1626C2D2" w14:textId="77777777" w:rsidR="002E58F2" w:rsidRPr="002141F4" w:rsidRDefault="002E58F2" w:rsidP="00FF6CD5">
      <w:pPr>
        <w:widowControl/>
        <w:autoSpaceDE w:val="0"/>
        <w:autoSpaceDN w:val="0"/>
        <w:adjustRightInd w:val="0"/>
        <w:spacing w:line="360" w:lineRule="auto"/>
        <w:rPr>
          <w:szCs w:val="22"/>
          <w:lang w:eastAsia="el-GR"/>
        </w:rPr>
      </w:pPr>
      <w:bookmarkStart w:id="0" w:name="_Hlk63674029"/>
      <w:r w:rsidRPr="002141F4">
        <w:rPr>
          <w:szCs w:val="22"/>
          <w:lang w:eastAsia="el-GR"/>
        </w:rPr>
        <w:t>Ένας μεγάλος αριθμός δεδομένων από εγκύους δεν υποδεικνύει ούτε δυσμορφική ούτε εμβρυϊκή/νεογνική τοξικότητα. Από επιδημιολογικές μελέτες σχετικά με τη νευροανάπτυξη των παιδιών που έχουν εκτεθεί σε παρακεταμόλη εντός της μήτρας δεν προκύπτουν αδιαμφισβήτητα δεδομένα. Αν η χρήση της παρακεταμόλης κριθεί κλινικά απαραίτητη, μπορεί να χρησιμοποιηθεί κατά τη διάρκεια της κύησης. Ωστόσο, πρέπει να χρησιμοποιείται η μικρότερη αποτελεσματική δόση για το μικρότερο δυνατό χρονικό διάστημα και με τη μικρότερη δυνατή συχνότητα.</w:t>
      </w:r>
    </w:p>
    <w:bookmarkEnd w:id="0"/>
    <w:p w14:paraId="680CBA98" w14:textId="77777777" w:rsidR="00525884" w:rsidRPr="002141F4" w:rsidRDefault="00525884" w:rsidP="00FF6CD5">
      <w:pPr>
        <w:widowControl/>
        <w:spacing w:line="360" w:lineRule="auto"/>
        <w:rPr>
          <w:szCs w:val="22"/>
          <w:u w:val="single"/>
          <w:lang w:eastAsia="el-GR"/>
        </w:rPr>
      </w:pPr>
    </w:p>
    <w:p w14:paraId="4B5F3DEC" w14:textId="77777777" w:rsidR="00525884" w:rsidRPr="00E30D83" w:rsidRDefault="00525884" w:rsidP="00FF6CD5">
      <w:pPr>
        <w:widowControl/>
        <w:spacing w:line="360" w:lineRule="auto"/>
        <w:rPr>
          <w:szCs w:val="22"/>
          <w:u w:val="single"/>
          <w:lang w:eastAsia="el-GR"/>
        </w:rPr>
      </w:pPr>
      <w:r w:rsidRPr="00E30D83">
        <w:rPr>
          <w:szCs w:val="22"/>
          <w:u w:val="single"/>
        </w:rPr>
        <w:t>Θηλασμός</w:t>
      </w:r>
    </w:p>
    <w:p w14:paraId="1FD7655F" w14:textId="77777777" w:rsidR="00525884" w:rsidRPr="002141F4" w:rsidRDefault="00525884" w:rsidP="00FF6CD5">
      <w:pPr>
        <w:widowControl/>
        <w:spacing w:line="360" w:lineRule="auto"/>
        <w:rPr>
          <w:szCs w:val="22"/>
          <w:lang w:eastAsia="el-GR"/>
        </w:rPr>
      </w:pPr>
      <w:r w:rsidRPr="002141F4">
        <w:rPr>
          <w:szCs w:val="22"/>
          <w:lang w:eastAsia="el-GR"/>
        </w:rPr>
        <w:t>Η παρακεταμόλη απεκκρίνεται στο μητρικό γάλα</w:t>
      </w:r>
      <w:r w:rsidR="00E53DCF">
        <w:rPr>
          <w:szCs w:val="22"/>
          <w:lang w:eastAsia="el-GR"/>
        </w:rPr>
        <w:t>,</w:t>
      </w:r>
      <w:r w:rsidRPr="002141F4">
        <w:rPr>
          <w:szCs w:val="22"/>
          <w:lang w:eastAsia="el-GR"/>
        </w:rPr>
        <w:t xml:space="preserve"> αλλά όχι σε κλινικ</w:t>
      </w:r>
      <w:r w:rsidR="000A2975" w:rsidRPr="002141F4">
        <w:rPr>
          <w:szCs w:val="22"/>
          <w:lang w:eastAsia="el-GR"/>
        </w:rPr>
        <w:t>ά σημαντικές ποσότητες στις συνι</w:t>
      </w:r>
      <w:r w:rsidRPr="002141F4">
        <w:rPr>
          <w:szCs w:val="22"/>
          <w:lang w:eastAsia="el-GR"/>
        </w:rPr>
        <w:t>στ</w:t>
      </w:r>
      <w:r w:rsidR="000A2975" w:rsidRPr="002141F4">
        <w:rPr>
          <w:szCs w:val="22"/>
          <w:lang w:eastAsia="el-GR"/>
        </w:rPr>
        <w:t>ώ</w:t>
      </w:r>
      <w:r w:rsidRPr="002141F4">
        <w:rPr>
          <w:szCs w:val="22"/>
          <w:lang w:eastAsia="el-GR"/>
        </w:rPr>
        <w:t>μενες δόσεις. Σύμφωνα με τα διαθέσιμα δεδομένα που έχουν δημοσιευτεί, η παρακεταμόλη δεν αντενδείκνυται κατά το</w:t>
      </w:r>
      <w:r w:rsidR="00E53DCF">
        <w:rPr>
          <w:szCs w:val="22"/>
          <w:lang w:eastAsia="el-GR"/>
        </w:rPr>
        <w:t>ν</w:t>
      </w:r>
      <w:r w:rsidRPr="002141F4">
        <w:rPr>
          <w:szCs w:val="22"/>
          <w:lang w:eastAsia="el-GR"/>
        </w:rPr>
        <w:t xml:space="preserve"> θηλασμό.</w:t>
      </w:r>
    </w:p>
    <w:p w14:paraId="2558B0CD" w14:textId="77777777" w:rsidR="00496809" w:rsidRPr="002141F4" w:rsidRDefault="00496809" w:rsidP="00FF6CD5">
      <w:pPr>
        <w:spacing w:line="360" w:lineRule="auto"/>
        <w:rPr>
          <w:szCs w:val="22"/>
        </w:rPr>
      </w:pPr>
    </w:p>
    <w:p w14:paraId="5683604B" w14:textId="77777777" w:rsidR="00496809" w:rsidRPr="002141F4" w:rsidRDefault="00496809" w:rsidP="00FF6CD5">
      <w:pPr>
        <w:spacing w:line="360" w:lineRule="auto"/>
        <w:rPr>
          <w:szCs w:val="22"/>
        </w:rPr>
      </w:pPr>
      <w:r w:rsidRPr="002141F4">
        <w:rPr>
          <w:b/>
          <w:szCs w:val="22"/>
        </w:rPr>
        <w:t>4.7</w:t>
      </w:r>
      <w:r w:rsidRPr="002141F4">
        <w:rPr>
          <w:b/>
          <w:szCs w:val="22"/>
        </w:rPr>
        <w:tab/>
        <w:t xml:space="preserve">Επιδράσεις στην ικανότητα οδήγησης και χειρισμού </w:t>
      </w:r>
      <w:r w:rsidR="00DB2A06" w:rsidRPr="002141F4">
        <w:rPr>
          <w:b/>
          <w:szCs w:val="22"/>
        </w:rPr>
        <w:t>μηχανημάτων</w:t>
      </w:r>
    </w:p>
    <w:p w14:paraId="09120374" w14:textId="77777777" w:rsidR="00496809" w:rsidRPr="002141F4" w:rsidRDefault="00496809" w:rsidP="00FF6CD5">
      <w:pPr>
        <w:spacing w:line="360" w:lineRule="auto"/>
        <w:rPr>
          <w:szCs w:val="22"/>
        </w:rPr>
      </w:pPr>
    </w:p>
    <w:p w14:paraId="131B2354" w14:textId="77777777" w:rsidR="00496809" w:rsidRPr="002141F4" w:rsidRDefault="00494123" w:rsidP="00FF6CD5">
      <w:pPr>
        <w:spacing w:line="360" w:lineRule="auto"/>
        <w:rPr>
          <w:szCs w:val="22"/>
        </w:rPr>
      </w:pPr>
      <w:r w:rsidRPr="002141F4">
        <w:rPr>
          <w:szCs w:val="22"/>
        </w:rPr>
        <w:t xml:space="preserve">Το </w:t>
      </w:r>
      <w:r w:rsidRPr="002141F4">
        <w:rPr>
          <w:szCs w:val="22"/>
          <w:lang w:val="en-US"/>
        </w:rPr>
        <w:t>Panadol</w:t>
      </w:r>
      <w:r w:rsidRPr="002141F4">
        <w:rPr>
          <w:szCs w:val="22"/>
        </w:rPr>
        <w:t xml:space="preserve"> δ</w:t>
      </w:r>
      <w:r w:rsidR="00F82B81" w:rsidRPr="002141F4">
        <w:rPr>
          <w:szCs w:val="22"/>
        </w:rPr>
        <w:t xml:space="preserve">εν </w:t>
      </w:r>
      <w:r w:rsidR="000A2975" w:rsidRPr="002141F4">
        <w:rPr>
          <w:szCs w:val="22"/>
        </w:rPr>
        <w:t xml:space="preserve">είναι πιθανό να </w:t>
      </w:r>
      <w:r w:rsidR="00F82B81" w:rsidRPr="002141F4">
        <w:rPr>
          <w:szCs w:val="22"/>
        </w:rPr>
        <w:t>έχει επίδραση</w:t>
      </w:r>
      <w:r w:rsidR="000A2975" w:rsidRPr="002141F4">
        <w:rPr>
          <w:szCs w:val="22"/>
        </w:rPr>
        <w:t xml:space="preserve"> στην ικανότητα οδήγησης και χειρισμού μηχαν</w:t>
      </w:r>
      <w:r w:rsidR="00EA0D4F" w:rsidRPr="002141F4">
        <w:rPr>
          <w:szCs w:val="22"/>
        </w:rPr>
        <w:t>ημάτω</w:t>
      </w:r>
      <w:r w:rsidR="000A2975" w:rsidRPr="002141F4">
        <w:rPr>
          <w:szCs w:val="22"/>
        </w:rPr>
        <w:t>ν</w:t>
      </w:r>
      <w:r w:rsidR="00F82B81" w:rsidRPr="002141F4">
        <w:rPr>
          <w:szCs w:val="22"/>
        </w:rPr>
        <w:t>.</w:t>
      </w:r>
    </w:p>
    <w:p w14:paraId="13270B1C" w14:textId="77777777" w:rsidR="00F82B81" w:rsidRPr="002141F4" w:rsidRDefault="00F82B81" w:rsidP="00FF6CD5">
      <w:pPr>
        <w:spacing w:line="360" w:lineRule="auto"/>
        <w:rPr>
          <w:szCs w:val="22"/>
        </w:rPr>
      </w:pPr>
    </w:p>
    <w:p w14:paraId="5BE1F07C" w14:textId="77777777" w:rsidR="00496809" w:rsidRPr="002141F4" w:rsidRDefault="00496809" w:rsidP="00FF6CD5">
      <w:pPr>
        <w:spacing w:line="360" w:lineRule="auto"/>
        <w:rPr>
          <w:b/>
          <w:szCs w:val="22"/>
        </w:rPr>
      </w:pPr>
      <w:r w:rsidRPr="002141F4">
        <w:rPr>
          <w:b/>
          <w:szCs w:val="22"/>
        </w:rPr>
        <w:t>4.8</w:t>
      </w:r>
      <w:r w:rsidRPr="002141F4">
        <w:rPr>
          <w:b/>
          <w:szCs w:val="22"/>
        </w:rPr>
        <w:tab/>
        <w:t>Ανεπιθύμητες ενέργειες</w:t>
      </w:r>
    </w:p>
    <w:p w14:paraId="05D3B18C" w14:textId="77777777" w:rsidR="00F82B81" w:rsidRPr="002141F4" w:rsidRDefault="00F82B81" w:rsidP="00FF6CD5">
      <w:pPr>
        <w:spacing w:line="360" w:lineRule="auto"/>
        <w:rPr>
          <w:noProof/>
          <w:szCs w:val="22"/>
        </w:rPr>
      </w:pPr>
    </w:p>
    <w:p w14:paraId="254EFBF0" w14:textId="77777777" w:rsidR="00E304D8" w:rsidRPr="002141F4" w:rsidRDefault="00E304D8" w:rsidP="00FF6CD5">
      <w:pPr>
        <w:spacing w:line="360" w:lineRule="auto"/>
        <w:rPr>
          <w:noProof/>
          <w:szCs w:val="22"/>
        </w:rPr>
      </w:pPr>
      <w:r w:rsidRPr="002141F4">
        <w:rPr>
          <w:noProof/>
          <w:szCs w:val="22"/>
        </w:rPr>
        <w:t>Οι ανεπιθύμητες ενέργειες από ιστορικά δεδομένα κλινικών μελετών</w:t>
      </w:r>
      <w:r w:rsidR="00F4491A" w:rsidRPr="002141F4">
        <w:rPr>
          <w:noProof/>
          <w:szCs w:val="22"/>
        </w:rPr>
        <w:t>,</w:t>
      </w:r>
      <w:r w:rsidR="00007F7A" w:rsidRPr="002141F4">
        <w:rPr>
          <w:noProof/>
          <w:szCs w:val="22"/>
        </w:rPr>
        <w:t xml:space="preserve"> </w:t>
      </w:r>
      <w:r w:rsidR="00F4491A" w:rsidRPr="002141F4">
        <w:rPr>
          <w:noProof/>
          <w:szCs w:val="22"/>
        </w:rPr>
        <w:t>με μικρό αριθμό ασθενών,</w:t>
      </w:r>
      <w:r w:rsidRPr="002141F4">
        <w:rPr>
          <w:noProof/>
          <w:szCs w:val="22"/>
        </w:rPr>
        <w:t xml:space="preserve"> είναι σπάνιες. </w:t>
      </w:r>
      <w:r w:rsidR="00234350" w:rsidRPr="002141F4">
        <w:rPr>
          <w:noProof/>
          <w:szCs w:val="22"/>
        </w:rPr>
        <w:t>Αντίστοιχα, ο</w:t>
      </w:r>
      <w:r w:rsidRPr="002141F4">
        <w:rPr>
          <w:noProof/>
          <w:szCs w:val="22"/>
        </w:rPr>
        <w:t xml:space="preserve">ι ανεπιθύμητες ενέργειες που έχουν αναφερθεί από την εκτενή εμπειρία μετά την κυκλοφορία του φαρμάκου στις θεραπευτικές δόσεις – όπως αναφέρονται στην επισήμανση – και θεωρούνται </w:t>
      </w:r>
      <w:r w:rsidR="00F4491A" w:rsidRPr="002141F4">
        <w:rPr>
          <w:noProof/>
          <w:szCs w:val="22"/>
        </w:rPr>
        <w:t>ότι σχετίζοντ</w:t>
      </w:r>
      <w:r w:rsidR="00007F7A" w:rsidRPr="002141F4">
        <w:rPr>
          <w:noProof/>
          <w:szCs w:val="22"/>
        </w:rPr>
        <w:t>αι</w:t>
      </w:r>
      <w:r w:rsidR="00F4491A" w:rsidRPr="002141F4">
        <w:rPr>
          <w:noProof/>
          <w:szCs w:val="22"/>
        </w:rPr>
        <w:t xml:space="preserve"> με αυτό </w:t>
      </w:r>
      <w:r w:rsidRPr="002141F4">
        <w:rPr>
          <w:noProof/>
          <w:szCs w:val="22"/>
        </w:rPr>
        <w:t>παρατίθενται σε μορφή πίνακα παρακάτω</w:t>
      </w:r>
      <w:r w:rsidR="00F4491A" w:rsidRPr="002141F4">
        <w:rPr>
          <w:noProof/>
          <w:szCs w:val="22"/>
        </w:rPr>
        <w:t>,</w:t>
      </w:r>
      <w:r w:rsidRPr="002141F4">
        <w:rPr>
          <w:noProof/>
          <w:szCs w:val="22"/>
        </w:rPr>
        <w:t xml:space="preserve"> ανά οργανικό σύστημα και συχνότητα.</w:t>
      </w:r>
    </w:p>
    <w:p w14:paraId="6223E2E1" w14:textId="77777777" w:rsidR="00E304D8" w:rsidRPr="002141F4" w:rsidRDefault="00E304D8" w:rsidP="00FF6CD5">
      <w:pPr>
        <w:spacing w:line="360" w:lineRule="auto"/>
        <w:rPr>
          <w:noProof/>
          <w:szCs w:val="22"/>
        </w:rPr>
      </w:pPr>
      <w:r w:rsidRPr="002141F4">
        <w:rPr>
          <w:noProof/>
          <w:szCs w:val="22"/>
        </w:rPr>
        <w:t>Η ακόλουθη συνθήκη έχει χρησιμοποιηθεί για την ταξινόμηση των ανεπιθύμητων ενεργειών: πολύ συχνές (</w:t>
      </w:r>
      <w:r w:rsidRPr="002141F4">
        <w:rPr>
          <w:noProof/>
          <w:szCs w:val="22"/>
        </w:rPr>
        <w:sym w:font="Symbol" w:char="F0B3"/>
      </w:r>
      <w:r w:rsidRPr="002141F4">
        <w:rPr>
          <w:noProof/>
          <w:szCs w:val="22"/>
        </w:rPr>
        <w:t>1/10), συχνές (</w:t>
      </w:r>
      <w:r w:rsidRPr="002141F4">
        <w:rPr>
          <w:noProof/>
          <w:szCs w:val="22"/>
        </w:rPr>
        <w:sym w:font="Symbol" w:char="F0B3"/>
      </w:r>
      <w:r w:rsidRPr="002141F4">
        <w:rPr>
          <w:noProof/>
          <w:szCs w:val="22"/>
        </w:rPr>
        <w:t>1/100 έως &lt;1/10), όχι συχνές (</w:t>
      </w:r>
      <w:r w:rsidRPr="002141F4">
        <w:rPr>
          <w:noProof/>
          <w:szCs w:val="22"/>
        </w:rPr>
        <w:sym w:font="Symbol" w:char="F0B3"/>
      </w:r>
      <w:r w:rsidRPr="002141F4">
        <w:rPr>
          <w:noProof/>
          <w:szCs w:val="22"/>
        </w:rPr>
        <w:t>1/1000 έως &lt;1/100), σπάνιες (</w:t>
      </w:r>
      <w:r w:rsidRPr="002141F4">
        <w:rPr>
          <w:noProof/>
          <w:szCs w:val="22"/>
        </w:rPr>
        <w:sym w:font="Symbol" w:char="F0B3"/>
      </w:r>
      <w:r w:rsidRPr="002141F4">
        <w:rPr>
          <w:noProof/>
          <w:szCs w:val="22"/>
        </w:rPr>
        <w:t>1/10.000 έως &lt;1/1000), πολύ σπάνιες (&lt;1/10.000), μη γνωστ</w:t>
      </w:r>
      <w:r w:rsidR="00AA54AB" w:rsidRPr="002141F4">
        <w:rPr>
          <w:noProof/>
          <w:szCs w:val="22"/>
        </w:rPr>
        <w:t>ής συχνότητας</w:t>
      </w:r>
      <w:r w:rsidRPr="002141F4">
        <w:rPr>
          <w:noProof/>
          <w:szCs w:val="22"/>
        </w:rPr>
        <w:t xml:space="preserve"> (</w:t>
      </w:r>
      <w:r w:rsidR="00AA54AB" w:rsidRPr="002141F4">
        <w:rPr>
          <w:noProof/>
          <w:szCs w:val="22"/>
        </w:rPr>
        <w:t xml:space="preserve">η συχνότητα </w:t>
      </w:r>
      <w:r w:rsidRPr="002141F4">
        <w:rPr>
          <w:noProof/>
          <w:szCs w:val="22"/>
        </w:rPr>
        <w:t>δεν μπορ</w:t>
      </w:r>
      <w:r w:rsidR="00AA54AB" w:rsidRPr="002141F4">
        <w:rPr>
          <w:noProof/>
          <w:szCs w:val="22"/>
        </w:rPr>
        <w:t>εί</w:t>
      </w:r>
      <w:r w:rsidRPr="002141F4">
        <w:rPr>
          <w:noProof/>
          <w:szCs w:val="22"/>
        </w:rPr>
        <w:t xml:space="preserve"> να εκτιμηθ</w:t>
      </w:r>
      <w:r w:rsidR="00AA54AB" w:rsidRPr="002141F4">
        <w:rPr>
          <w:noProof/>
          <w:szCs w:val="22"/>
        </w:rPr>
        <w:t>εί</w:t>
      </w:r>
      <w:r w:rsidRPr="002141F4">
        <w:rPr>
          <w:noProof/>
          <w:szCs w:val="22"/>
        </w:rPr>
        <w:t xml:space="preserve"> </w:t>
      </w:r>
      <w:r w:rsidRPr="002141F4">
        <w:rPr>
          <w:noProof/>
          <w:szCs w:val="22"/>
        </w:rPr>
        <w:lastRenderedPageBreak/>
        <w:t>με βάση τα διαθέσιμα δεδομένα).</w:t>
      </w:r>
    </w:p>
    <w:p w14:paraId="15C3B087" w14:textId="77777777" w:rsidR="00E304D8" w:rsidRPr="002141F4" w:rsidRDefault="00E304D8" w:rsidP="00FF6CD5">
      <w:pPr>
        <w:spacing w:line="360" w:lineRule="auto"/>
        <w:ind w:left="426"/>
        <w:rPr>
          <w:noProof/>
          <w:szCs w:val="22"/>
        </w:rPr>
      </w:pPr>
    </w:p>
    <w:p w14:paraId="0F57D5E8" w14:textId="77777777" w:rsidR="00E304D8" w:rsidRPr="002141F4" w:rsidRDefault="00E304D8" w:rsidP="00FF6CD5">
      <w:pPr>
        <w:spacing w:line="360" w:lineRule="auto"/>
        <w:rPr>
          <w:noProof/>
          <w:szCs w:val="22"/>
        </w:rPr>
      </w:pPr>
      <w:r w:rsidRPr="002141F4">
        <w:rPr>
          <w:noProof/>
          <w:szCs w:val="22"/>
        </w:rPr>
        <w:t>Η συχνότητα των ανεπιθύμητων ενεργειών έχει εκτιμηθεί βάσει των αυθόρμητων αναφορών που ελήφθησαν από τα δεδομένα μετά την κυκλοφορία.</w:t>
      </w:r>
    </w:p>
    <w:p w14:paraId="37B5D4DD" w14:textId="77777777" w:rsidR="00E304D8" w:rsidRPr="002141F4" w:rsidRDefault="00E304D8" w:rsidP="00FF6CD5">
      <w:pPr>
        <w:spacing w:line="360" w:lineRule="auto"/>
        <w:ind w:left="426"/>
        <w:jc w:val="both"/>
        <w:rPr>
          <w:noProof/>
          <w:szCs w:val="22"/>
        </w:rPr>
      </w:pPr>
    </w:p>
    <w:tbl>
      <w:tblPr>
        <w:tblW w:w="8884" w:type="dxa"/>
        <w:jc w:val="center"/>
        <w:tblLayout w:type="fixed"/>
        <w:tblCellMar>
          <w:left w:w="0" w:type="dxa"/>
          <w:right w:w="0" w:type="dxa"/>
        </w:tblCellMar>
        <w:tblLook w:val="00A0" w:firstRow="1" w:lastRow="0" w:firstColumn="1" w:lastColumn="0" w:noHBand="0" w:noVBand="0"/>
      </w:tblPr>
      <w:tblGrid>
        <w:gridCol w:w="3120"/>
        <w:gridCol w:w="3969"/>
        <w:gridCol w:w="1795"/>
      </w:tblGrid>
      <w:tr w:rsidR="00782717" w:rsidRPr="002141F4" w14:paraId="169493E5" w14:textId="77777777" w:rsidTr="00FF6CD5">
        <w:trPr>
          <w:jc w:val="center"/>
        </w:trPr>
        <w:tc>
          <w:tcPr>
            <w:tcW w:w="3120" w:type="dxa"/>
            <w:tcBorders>
              <w:top w:val="single" w:sz="6" w:space="0" w:color="000000"/>
              <w:left w:val="single" w:sz="6" w:space="0" w:color="000000"/>
              <w:right w:val="single" w:sz="6" w:space="0" w:color="000000"/>
            </w:tcBorders>
          </w:tcPr>
          <w:p w14:paraId="55B3E2DF" w14:textId="77777777" w:rsidR="00E304D8" w:rsidRPr="002141F4" w:rsidRDefault="00E304D8" w:rsidP="00FF6CD5">
            <w:pPr>
              <w:spacing w:line="360" w:lineRule="auto"/>
              <w:ind w:left="141" w:right="142"/>
              <w:jc w:val="both"/>
              <w:rPr>
                <w:b/>
                <w:bCs/>
                <w:noProof/>
                <w:szCs w:val="22"/>
              </w:rPr>
            </w:pPr>
            <w:r w:rsidRPr="002141F4">
              <w:rPr>
                <w:b/>
                <w:bCs/>
                <w:noProof/>
                <w:szCs w:val="22"/>
              </w:rPr>
              <w:t>Οργανικό σύστημα</w:t>
            </w:r>
          </w:p>
        </w:tc>
        <w:tc>
          <w:tcPr>
            <w:tcW w:w="3969" w:type="dxa"/>
            <w:tcBorders>
              <w:top w:val="single" w:sz="6" w:space="0" w:color="000000"/>
              <w:left w:val="single" w:sz="6" w:space="0" w:color="000000"/>
              <w:right w:val="single" w:sz="6" w:space="0" w:color="000000"/>
            </w:tcBorders>
          </w:tcPr>
          <w:p w14:paraId="711374E1" w14:textId="77777777" w:rsidR="00E304D8" w:rsidRPr="002141F4" w:rsidRDefault="00E304D8" w:rsidP="00FF6CD5">
            <w:pPr>
              <w:spacing w:line="360" w:lineRule="auto"/>
              <w:ind w:left="141" w:right="142"/>
              <w:jc w:val="both"/>
              <w:rPr>
                <w:b/>
                <w:bCs/>
                <w:noProof/>
                <w:szCs w:val="22"/>
              </w:rPr>
            </w:pPr>
            <w:r w:rsidRPr="002141F4">
              <w:rPr>
                <w:b/>
                <w:bCs/>
                <w:noProof/>
                <w:szCs w:val="22"/>
              </w:rPr>
              <w:t>Ανεπιθύμητη ενέργεια</w:t>
            </w:r>
          </w:p>
        </w:tc>
        <w:tc>
          <w:tcPr>
            <w:tcW w:w="1795" w:type="dxa"/>
            <w:tcBorders>
              <w:top w:val="single" w:sz="6" w:space="0" w:color="000000"/>
              <w:left w:val="single" w:sz="6" w:space="0" w:color="000000"/>
              <w:right w:val="single" w:sz="6" w:space="0" w:color="000000"/>
            </w:tcBorders>
          </w:tcPr>
          <w:p w14:paraId="1277BCD9" w14:textId="77777777" w:rsidR="00E304D8" w:rsidRPr="002141F4" w:rsidRDefault="00E304D8" w:rsidP="00FF6CD5">
            <w:pPr>
              <w:spacing w:line="360" w:lineRule="auto"/>
              <w:ind w:left="141" w:right="142"/>
              <w:jc w:val="both"/>
              <w:rPr>
                <w:b/>
                <w:bCs/>
                <w:noProof/>
                <w:szCs w:val="22"/>
              </w:rPr>
            </w:pPr>
            <w:r w:rsidRPr="002141F4">
              <w:rPr>
                <w:b/>
                <w:bCs/>
                <w:noProof/>
                <w:szCs w:val="22"/>
              </w:rPr>
              <w:t>Συχνότητα</w:t>
            </w:r>
          </w:p>
        </w:tc>
      </w:tr>
      <w:tr w:rsidR="00782717" w:rsidRPr="002141F4" w14:paraId="7AC4DD83" w14:textId="77777777" w:rsidTr="00FF6CD5">
        <w:trPr>
          <w:jc w:val="center"/>
        </w:trPr>
        <w:tc>
          <w:tcPr>
            <w:tcW w:w="3120" w:type="dxa"/>
            <w:tcBorders>
              <w:top w:val="single" w:sz="6" w:space="0" w:color="000000"/>
              <w:left w:val="single" w:sz="6" w:space="0" w:color="000000"/>
              <w:right w:val="single" w:sz="6" w:space="0" w:color="000000"/>
            </w:tcBorders>
          </w:tcPr>
          <w:p w14:paraId="5CFA8178" w14:textId="77777777" w:rsidR="00E304D8" w:rsidRPr="002141F4" w:rsidRDefault="00E304D8" w:rsidP="00FF6CD5">
            <w:pPr>
              <w:spacing w:line="360" w:lineRule="auto"/>
              <w:ind w:left="141" w:right="142"/>
              <w:rPr>
                <w:noProof/>
                <w:szCs w:val="22"/>
              </w:rPr>
            </w:pPr>
            <w:r w:rsidRPr="002141F4">
              <w:rPr>
                <w:noProof/>
                <w:szCs w:val="22"/>
              </w:rPr>
              <w:t>Διαταραχές του αιμοποιητικού και του λεμφικού συστήματος</w:t>
            </w:r>
          </w:p>
        </w:tc>
        <w:tc>
          <w:tcPr>
            <w:tcW w:w="3969" w:type="dxa"/>
            <w:tcBorders>
              <w:top w:val="single" w:sz="6" w:space="0" w:color="000000"/>
              <w:left w:val="single" w:sz="6" w:space="0" w:color="000000"/>
              <w:right w:val="single" w:sz="6" w:space="0" w:color="000000"/>
            </w:tcBorders>
          </w:tcPr>
          <w:p w14:paraId="1145CB2A" w14:textId="77777777" w:rsidR="0014220B" w:rsidRPr="002141F4" w:rsidRDefault="00E304D8" w:rsidP="00FF6CD5">
            <w:pPr>
              <w:spacing w:line="360" w:lineRule="auto"/>
              <w:ind w:left="141" w:right="142"/>
              <w:rPr>
                <w:noProof/>
                <w:szCs w:val="22"/>
                <w:lang w:val="en-US"/>
              </w:rPr>
            </w:pPr>
            <w:r w:rsidRPr="002141F4">
              <w:rPr>
                <w:noProof/>
                <w:szCs w:val="22"/>
              </w:rPr>
              <w:t>Θρομβοπενία</w:t>
            </w:r>
          </w:p>
          <w:p w14:paraId="3D8FB352" w14:textId="77777777" w:rsidR="00E304D8" w:rsidRPr="002141F4" w:rsidRDefault="00F4491A" w:rsidP="00FF6CD5">
            <w:pPr>
              <w:spacing w:line="360" w:lineRule="auto"/>
              <w:ind w:left="141" w:right="142"/>
              <w:rPr>
                <w:noProof/>
                <w:szCs w:val="22"/>
              </w:rPr>
            </w:pPr>
            <w:r w:rsidRPr="002141F4">
              <w:rPr>
                <w:noProof/>
                <w:szCs w:val="22"/>
              </w:rPr>
              <w:t>Ακοκκιοκυτταραιμία</w:t>
            </w:r>
          </w:p>
          <w:p w14:paraId="4CDF18F2" w14:textId="77777777" w:rsidR="00786AD6" w:rsidRPr="002141F4" w:rsidRDefault="00786AD6" w:rsidP="00FF6CD5">
            <w:pPr>
              <w:widowControl/>
              <w:autoSpaceDE w:val="0"/>
              <w:autoSpaceDN w:val="0"/>
              <w:adjustRightInd w:val="0"/>
              <w:spacing w:line="360" w:lineRule="auto"/>
              <w:rPr>
                <w:szCs w:val="22"/>
                <w:lang w:eastAsia="el-GR"/>
              </w:rPr>
            </w:pPr>
            <w:r w:rsidRPr="002141F4">
              <w:rPr>
                <w:szCs w:val="22"/>
                <w:lang w:eastAsia="el-GR"/>
              </w:rPr>
              <w:t xml:space="preserve">  Ουδετεροπενία </w:t>
            </w:r>
          </w:p>
          <w:p w14:paraId="25CCD2AF" w14:textId="77777777" w:rsidR="00786AD6" w:rsidRPr="002141F4" w:rsidRDefault="00786AD6" w:rsidP="00FF6CD5">
            <w:pPr>
              <w:widowControl/>
              <w:spacing w:line="360" w:lineRule="auto"/>
              <w:rPr>
                <w:noProof/>
                <w:szCs w:val="22"/>
              </w:rPr>
            </w:pPr>
            <w:r w:rsidRPr="002141F4">
              <w:rPr>
                <w:szCs w:val="22"/>
                <w:lang w:eastAsia="zh-CN"/>
              </w:rPr>
              <w:t xml:space="preserve">  Λευκοπενία </w:t>
            </w:r>
          </w:p>
        </w:tc>
        <w:tc>
          <w:tcPr>
            <w:tcW w:w="1795" w:type="dxa"/>
            <w:tcBorders>
              <w:top w:val="single" w:sz="6" w:space="0" w:color="000000"/>
              <w:left w:val="single" w:sz="6" w:space="0" w:color="000000"/>
              <w:right w:val="single" w:sz="6" w:space="0" w:color="000000"/>
            </w:tcBorders>
          </w:tcPr>
          <w:p w14:paraId="3DBB4417" w14:textId="77777777" w:rsidR="00786AD6" w:rsidRPr="002141F4" w:rsidRDefault="0014220B" w:rsidP="00FF6CD5">
            <w:pPr>
              <w:spacing w:line="360" w:lineRule="auto"/>
              <w:ind w:right="142"/>
              <w:rPr>
                <w:noProof/>
                <w:szCs w:val="22"/>
              </w:rPr>
            </w:pPr>
            <w:r w:rsidRPr="002141F4">
              <w:rPr>
                <w:noProof/>
                <w:szCs w:val="22"/>
              </w:rPr>
              <w:t xml:space="preserve">  </w:t>
            </w:r>
            <w:r w:rsidR="00E304D8" w:rsidRPr="002141F4">
              <w:rPr>
                <w:noProof/>
                <w:szCs w:val="22"/>
              </w:rPr>
              <w:t>Πολύ σπάνι</w:t>
            </w:r>
            <w:r w:rsidR="00786AD6" w:rsidRPr="002141F4">
              <w:rPr>
                <w:noProof/>
                <w:szCs w:val="22"/>
              </w:rPr>
              <w:t>α</w:t>
            </w:r>
          </w:p>
          <w:p w14:paraId="542FE8E4" w14:textId="77777777" w:rsidR="00786AD6" w:rsidRPr="002141F4" w:rsidRDefault="00786AD6" w:rsidP="00FF6CD5">
            <w:pPr>
              <w:spacing w:line="360" w:lineRule="auto"/>
              <w:rPr>
                <w:szCs w:val="22"/>
              </w:rPr>
            </w:pPr>
            <w:r w:rsidRPr="002141F4">
              <w:rPr>
                <w:szCs w:val="22"/>
              </w:rPr>
              <w:t xml:space="preserve">  Πολύ σπάνια</w:t>
            </w:r>
          </w:p>
          <w:p w14:paraId="4D06580E" w14:textId="77777777" w:rsidR="00786AD6" w:rsidRPr="002141F4" w:rsidRDefault="00786AD6" w:rsidP="00FF6CD5">
            <w:pPr>
              <w:spacing w:line="360" w:lineRule="auto"/>
              <w:rPr>
                <w:szCs w:val="22"/>
                <w:lang w:eastAsia="zh-CN"/>
              </w:rPr>
            </w:pPr>
            <w:r w:rsidRPr="002141F4">
              <w:rPr>
                <w:szCs w:val="22"/>
                <w:lang w:eastAsia="zh-CN"/>
              </w:rPr>
              <w:t xml:space="preserve">  Μη γνωστής</w:t>
            </w:r>
          </w:p>
          <w:p w14:paraId="076CFA24" w14:textId="77777777" w:rsidR="00E304D8" w:rsidRPr="006142E0" w:rsidRDefault="00786AD6" w:rsidP="00FF6CD5">
            <w:pPr>
              <w:pStyle w:val="BodyTextIndent"/>
              <w:spacing w:line="360" w:lineRule="auto"/>
              <w:ind w:left="0"/>
              <w:rPr>
                <w:szCs w:val="22"/>
              </w:rPr>
            </w:pPr>
            <w:r w:rsidRPr="002141F4">
              <w:rPr>
                <w:szCs w:val="22"/>
              </w:rPr>
              <w:t xml:space="preserve">  Μη γνωστής</w:t>
            </w:r>
          </w:p>
        </w:tc>
      </w:tr>
      <w:tr w:rsidR="00782717" w:rsidRPr="002141F4" w14:paraId="55353281" w14:textId="77777777" w:rsidTr="00FF6CD5">
        <w:trPr>
          <w:jc w:val="center"/>
        </w:trPr>
        <w:tc>
          <w:tcPr>
            <w:tcW w:w="3120" w:type="dxa"/>
            <w:tcBorders>
              <w:top w:val="single" w:sz="6" w:space="0" w:color="000000"/>
              <w:left w:val="single" w:sz="6" w:space="0" w:color="000000"/>
              <w:right w:val="single" w:sz="6" w:space="0" w:color="000000"/>
            </w:tcBorders>
          </w:tcPr>
          <w:p w14:paraId="6D72F1C2" w14:textId="77777777" w:rsidR="00E304D8" w:rsidRPr="002141F4" w:rsidRDefault="00E304D8" w:rsidP="00FF6CD5">
            <w:pPr>
              <w:spacing w:line="360" w:lineRule="auto"/>
              <w:ind w:left="141" w:right="142"/>
              <w:rPr>
                <w:noProof/>
                <w:szCs w:val="22"/>
              </w:rPr>
            </w:pPr>
            <w:r w:rsidRPr="002141F4">
              <w:rPr>
                <w:noProof/>
                <w:szCs w:val="22"/>
              </w:rPr>
              <w:t>Διαταραχές του ανοσοποιητικού συστήματος</w:t>
            </w:r>
          </w:p>
        </w:tc>
        <w:tc>
          <w:tcPr>
            <w:tcW w:w="3969" w:type="dxa"/>
            <w:tcBorders>
              <w:top w:val="single" w:sz="6" w:space="0" w:color="000000"/>
              <w:left w:val="single" w:sz="6" w:space="0" w:color="000000"/>
              <w:right w:val="single" w:sz="6" w:space="0" w:color="000000"/>
            </w:tcBorders>
          </w:tcPr>
          <w:p w14:paraId="6DB19363" w14:textId="77777777" w:rsidR="00786AD6" w:rsidRPr="002141F4" w:rsidRDefault="00EA0D4F" w:rsidP="00FF6CD5">
            <w:pPr>
              <w:spacing w:line="360" w:lineRule="auto"/>
              <w:ind w:left="141" w:right="142"/>
              <w:rPr>
                <w:szCs w:val="22"/>
              </w:rPr>
            </w:pPr>
            <w:r w:rsidRPr="002141F4">
              <w:rPr>
                <w:szCs w:val="22"/>
              </w:rPr>
              <w:t>Αναφυλαξία</w:t>
            </w:r>
          </w:p>
          <w:p w14:paraId="50703D2B" w14:textId="77777777" w:rsidR="00E304D8" w:rsidRPr="002141F4" w:rsidRDefault="00786AD6" w:rsidP="00FF6CD5">
            <w:pPr>
              <w:spacing w:line="360" w:lineRule="auto"/>
              <w:ind w:left="141" w:right="142"/>
              <w:rPr>
                <w:noProof/>
                <w:szCs w:val="22"/>
              </w:rPr>
            </w:pPr>
            <w:r w:rsidRPr="002141F4">
              <w:rPr>
                <w:szCs w:val="22"/>
              </w:rPr>
              <w:t>Yπερευαισθησία</w:t>
            </w:r>
          </w:p>
        </w:tc>
        <w:tc>
          <w:tcPr>
            <w:tcW w:w="1795" w:type="dxa"/>
            <w:tcBorders>
              <w:top w:val="single" w:sz="6" w:space="0" w:color="000000"/>
              <w:left w:val="single" w:sz="6" w:space="0" w:color="000000"/>
              <w:right w:val="single" w:sz="6" w:space="0" w:color="000000"/>
            </w:tcBorders>
          </w:tcPr>
          <w:p w14:paraId="7CE76C5D" w14:textId="77777777" w:rsidR="00E304D8" w:rsidRPr="002141F4" w:rsidRDefault="00E304D8" w:rsidP="00FF6CD5">
            <w:pPr>
              <w:spacing w:line="360" w:lineRule="auto"/>
              <w:ind w:left="141" w:right="142"/>
              <w:rPr>
                <w:noProof/>
                <w:szCs w:val="22"/>
              </w:rPr>
            </w:pPr>
            <w:r w:rsidRPr="002141F4">
              <w:rPr>
                <w:noProof/>
                <w:szCs w:val="22"/>
              </w:rPr>
              <w:t>Πολύ σπάνιες</w:t>
            </w:r>
          </w:p>
        </w:tc>
      </w:tr>
      <w:tr w:rsidR="00394D3E" w:rsidRPr="002141F4" w14:paraId="7368B99B" w14:textId="77777777" w:rsidTr="00FF6CD5">
        <w:trPr>
          <w:jc w:val="center"/>
        </w:trPr>
        <w:tc>
          <w:tcPr>
            <w:tcW w:w="3120" w:type="dxa"/>
            <w:tcBorders>
              <w:top w:val="single" w:sz="6" w:space="0" w:color="000000"/>
              <w:left w:val="single" w:sz="6" w:space="0" w:color="000000"/>
              <w:right w:val="single" w:sz="6" w:space="0" w:color="000000"/>
            </w:tcBorders>
          </w:tcPr>
          <w:p w14:paraId="74DF6F7A" w14:textId="77777777" w:rsidR="00394D3E" w:rsidRPr="002141F4" w:rsidRDefault="00394D3E" w:rsidP="00FF6CD5">
            <w:pPr>
              <w:spacing w:line="360" w:lineRule="auto"/>
              <w:ind w:left="141" w:right="142"/>
              <w:rPr>
                <w:noProof/>
                <w:szCs w:val="22"/>
              </w:rPr>
            </w:pPr>
            <w:r w:rsidRPr="00394D3E">
              <w:rPr>
                <w:noProof/>
                <w:szCs w:val="22"/>
              </w:rPr>
              <w:t>Διαταραχές του μεταβολισμού και της θρέψης</w:t>
            </w:r>
          </w:p>
        </w:tc>
        <w:tc>
          <w:tcPr>
            <w:tcW w:w="3969" w:type="dxa"/>
            <w:tcBorders>
              <w:top w:val="single" w:sz="6" w:space="0" w:color="000000"/>
              <w:left w:val="single" w:sz="6" w:space="0" w:color="000000"/>
              <w:right w:val="single" w:sz="6" w:space="0" w:color="000000"/>
            </w:tcBorders>
          </w:tcPr>
          <w:p w14:paraId="3AC49BC0" w14:textId="77777777" w:rsidR="00394D3E" w:rsidRPr="002141F4" w:rsidRDefault="00394D3E" w:rsidP="00FF6CD5">
            <w:pPr>
              <w:spacing w:line="360" w:lineRule="auto"/>
              <w:ind w:left="141" w:right="142"/>
              <w:rPr>
                <w:szCs w:val="22"/>
              </w:rPr>
            </w:pPr>
            <w:r>
              <w:rPr>
                <w:szCs w:val="22"/>
                <w:lang w:val="en-US"/>
              </w:rPr>
              <w:t>M</w:t>
            </w:r>
            <w:r>
              <w:rPr>
                <w:szCs w:val="22"/>
              </w:rPr>
              <w:t>εταβολική οξέωση</w:t>
            </w:r>
            <w:r w:rsidRPr="00394D3E">
              <w:rPr>
                <w:szCs w:val="22"/>
              </w:rPr>
              <w:t xml:space="preserve"> με αυξημένο χάσμα ανιόντων, κατά την ταυτόχρονη χορήγηση φλουκλοξακιλλίνης και παρακεταμόλης, όταν συνυπάρχουν γενικά παράγοντες κινδύνου (βλ. παράγραφο 4.4.)</w:t>
            </w:r>
          </w:p>
        </w:tc>
        <w:tc>
          <w:tcPr>
            <w:tcW w:w="1795" w:type="dxa"/>
            <w:tcBorders>
              <w:top w:val="single" w:sz="6" w:space="0" w:color="000000"/>
              <w:left w:val="single" w:sz="6" w:space="0" w:color="000000"/>
              <w:right w:val="single" w:sz="6" w:space="0" w:color="000000"/>
            </w:tcBorders>
          </w:tcPr>
          <w:p w14:paraId="2397D51E" w14:textId="77777777" w:rsidR="00D62C0D" w:rsidRPr="002141F4" w:rsidRDefault="00D62C0D" w:rsidP="00D62C0D">
            <w:pPr>
              <w:spacing w:line="360" w:lineRule="auto"/>
              <w:ind w:left="141" w:right="142"/>
              <w:rPr>
                <w:noProof/>
                <w:szCs w:val="22"/>
              </w:rPr>
            </w:pPr>
            <w:r w:rsidRPr="002141F4">
              <w:rPr>
                <w:noProof/>
                <w:szCs w:val="22"/>
              </w:rPr>
              <w:t>Πολύ σπάνια</w:t>
            </w:r>
          </w:p>
          <w:p w14:paraId="12D79480" w14:textId="77777777" w:rsidR="00394D3E" w:rsidRPr="002141F4" w:rsidRDefault="00394D3E" w:rsidP="00FF6CD5">
            <w:pPr>
              <w:spacing w:line="360" w:lineRule="auto"/>
              <w:ind w:left="141" w:right="142"/>
              <w:rPr>
                <w:noProof/>
                <w:szCs w:val="22"/>
              </w:rPr>
            </w:pPr>
          </w:p>
        </w:tc>
      </w:tr>
      <w:tr w:rsidR="00782717" w:rsidRPr="002141F4" w14:paraId="6867D079" w14:textId="77777777" w:rsidTr="00FF6CD5">
        <w:trPr>
          <w:jc w:val="center"/>
        </w:trPr>
        <w:tc>
          <w:tcPr>
            <w:tcW w:w="3120" w:type="dxa"/>
            <w:tcBorders>
              <w:top w:val="single" w:sz="6" w:space="0" w:color="000000"/>
              <w:left w:val="single" w:sz="6" w:space="0" w:color="000000"/>
              <w:bottom w:val="single" w:sz="6" w:space="0" w:color="000000"/>
              <w:right w:val="single" w:sz="6" w:space="0" w:color="000000"/>
            </w:tcBorders>
          </w:tcPr>
          <w:p w14:paraId="13A5579D" w14:textId="77777777" w:rsidR="00E304D8" w:rsidRPr="002141F4" w:rsidRDefault="00E304D8" w:rsidP="00FF6CD5">
            <w:pPr>
              <w:spacing w:line="360" w:lineRule="auto"/>
              <w:ind w:left="141" w:right="142"/>
              <w:rPr>
                <w:noProof/>
                <w:szCs w:val="22"/>
              </w:rPr>
            </w:pPr>
            <w:r w:rsidRPr="002141F4">
              <w:rPr>
                <w:noProof/>
                <w:szCs w:val="22"/>
              </w:rPr>
              <w:t>Διαταραχές του αναπνευστικού συστήματος, του θώρακα και του μεσοθωρ</w:t>
            </w:r>
            <w:r w:rsidR="00036B23" w:rsidRPr="002141F4">
              <w:rPr>
                <w:noProof/>
                <w:szCs w:val="22"/>
              </w:rPr>
              <w:t>ά</w:t>
            </w:r>
            <w:r w:rsidRPr="002141F4">
              <w:rPr>
                <w:noProof/>
                <w:szCs w:val="22"/>
              </w:rPr>
              <w:t>κ</w:t>
            </w:r>
            <w:r w:rsidR="00036B23" w:rsidRPr="002141F4">
              <w:rPr>
                <w:noProof/>
                <w:szCs w:val="22"/>
              </w:rPr>
              <w:t>ι</w:t>
            </w:r>
            <w:r w:rsidRPr="002141F4">
              <w:rPr>
                <w:noProof/>
                <w:szCs w:val="22"/>
              </w:rPr>
              <w:t>ου</w:t>
            </w:r>
          </w:p>
        </w:tc>
        <w:tc>
          <w:tcPr>
            <w:tcW w:w="3969" w:type="dxa"/>
            <w:tcBorders>
              <w:top w:val="single" w:sz="6" w:space="0" w:color="000000"/>
              <w:left w:val="single" w:sz="6" w:space="0" w:color="000000"/>
              <w:bottom w:val="single" w:sz="6" w:space="0" w:color="000000"/>
              <w:right w:val="single" w:sz="6" w:space="0" w:color="000000"/>
            </w:tcBorders>
          </w:tcPr>
          <w:p w14:paraId="491ECF84" w14:textId="5509D335" w:rsidR="00E304D8" w:rsidRPr="002141F4" w:rsidRDefault="00E304D8">
            <w:pPr>
              <w:spacing w:line="360" w:lineRule="auto"/>
              <w:ind w:left="141" w:right="142"/>
              <w:rPr>
                <w:noProof/>
                <w:szCs w:val="22"/>
              </w:rPr>
            </w:pPr>
            <w:r w:rsidRPr="002141F4">
              <w:rPr>
                <w:noProof/>
                <w:szCs w:val="22"/>
              </w:rPr>
              <w:t xml:space="preserve">Βρογχόσπασμος </w:t>
            </w:r>
            <w:r w:rsidR="00F4491A" w:rsidRPr="002141F4">
              <w:rPr>
                <w:noProof/>
                <w:szCs w:val="22"/>
              </w:rPr>
              <w:t xml:space="preserve">πιθανώς να εμφανιστεί </w:t>
            </w:r>
            <w:r w:rsidRPr="002141F4">
              <w:rPr>
                <w:noProof/>
                <w:szCs w:val="22"/>
              </w:rPr>
              <w:t xml:space="preserve">σε </w:t>
            </w:r>
            <w:r w:rsidR="00F4491A" w:rsidRPr="002141F4">
              <w:rPr>
                <w:noProof/>
                <w:szCs w:val="22"/>
              </w:rPr>
              <w:t xml:space="preserve">ασθματικούς </w:t>
            </w:r>
            <w:r w:rsidRPr="002141F4">
              <w:rPr>
                <w:noProof/>
                <w:szCs w:val="22"/>
              </w:rPr>
              <w:t>ασθενείς ευαίσθητους στ</w:t>
            </w:r>
            <w:r w:rsidR="00B170DE">
              <w:rPr>
                <w:noProof/>
                <w:szCs w:val="22"/>
              </w:rPr>
              <w:t>ο</w:t>
            </w:r>
            <w:r w:rsidRPr="002141F4">
              <w:rPr>
                <w:noProof/>
                <w:szCs w:val="22"/>
              </w:rPr>
              <w:t xml:space="preserve"> </w:t>
            </w:r>
            <w:r w:rsidR="00B170DE">
              <w:rPr>
                <w:noProof/>
                <w:szCs w:val="22"/>
              </w:rPr>
              <w:t>ακετυλοσαλικυλικό οξύ</w:t>
            </w:r>
            <w:r w:rsidR="00B170DE" w:rsidRPr="002141F4">
              <w:rPr>
                <w:noProof/>
                <w:szCs w:val="22"/>
              </w:rPr>
              <w:t xml:space="preserve"> </w:t>
            </w:r>
            <w:r w:rsidRPr="002141F4">
              <w:rPr>
                <w:noProof/>
                <w:szCs w:val="22"/>
              </w:rPr>
              <w:t>και άλλα ΜΣΑΦ</w:t>
            </w:r>
          </w:p>
        </w:tc>
        <w:tc>
          <w:tcPr>
            <w:tcW w:w="1795" w:type="dxa"/>
            <w:tcBorders>
              <w:top w:val="single" w:sz="6" w:space="0" w:color="000000"/>
              <w:left w:val="single" w:sz="6" w:space="0" w:color="000000"/>
              <w:bottom w:val="single" w:sz="6" w:space="0" w:color="000000"/>
              <w:right w:val="single" w:sz="6" w:space="0" w:color="000000"/>
            </w:tcBorders>
          </w:tcPr>
          <w:p w14:paraId="3E0BDE9C" w14:textId="77777777" w:rsidR="00E304D8" w:rsidRPr="002141F4" w:rsidRDefault="00E304D8" w:rsidP="00FF6CD5">
            <w:pPr>
              <w:spacing w:line="360" w:lineRule="auto"/>
              <w:ind w:left="141" w:right="142"/>
              <w:rPr>
                <w:noProof/>
                <w:szCs w:val="22"/>
              </w:rPr>
            </w:pPr>
            <w:r w:rsidRPr="002141F4">
              <w:rPr>
                <w:noProof/>
                <w:szCs w:val="22"/>
              </w:rPr>
              <w:t>Πολύ σπάνι</w:t>
            </w:r>
            <w:r w:rsidR="00786AD6" w:rsidRPr="002141F4">
              <w:rPr>
                <w:noProof/>
                <w:szCs w:val="22"/>
              </w:rPr>
              <w:t>α</w:t>
            </w:r>
          </w:p>
        </w:tc>
      </w:tr>
      <w:tr w:rsidR="00782717" w:rsidRPr="002141F4" w14:paraId="4158EEE1" w14:textId="77777777" w:rsidTr="00FF6CD5">
        <w:trPr>
          <w:jc w:val="center"/>
        </w:trPr>
        <w:tc>
          <w:tcPr>
            <w:tcW w:w="3120" w:type="dxa"/>
            <w:tcBorders>
              <w:top w:val="single" w:sz="6" w:space="0" w:color="000000"/>
              <w:left w:val="single" w:sz="6" w:space="0" w:color="000000"/>
              <w:bottom w:val="single" w:sz="6" w:space="0" w:color="000000"/>
              <w:right w:val="single" w:sz="6" w:space="0" w:color="000000"/>
            </w:tcBorders>
          </w:tcPr>
          <w:p w14:paraId="71B5AEEF" w14:textId="77777777" w:rsidR="00E304D8" w:rsidRPr="002141F4" w:rsidRDefault="00E304D8" w:rsidP="00FF6CD5">
            <w:pPr>
              <w:spacing w:line="360" w:lineRule="auto"/>
              <w:ind w:left="141" w:right="142"/>
              <w:rPr>
                <w:noProof/>
                <w:szCs w:val="22"/>
              </w:rPr>
            </w:pPr>
            <w:r w:rsidRPr="002141F4">
              <w:rPr>
                <w:noProof/>
                <w:szCs w:val="22"/>
              </w:rPr>
              <w:t>Διαταραχές του ήπατος και των χοληφόρων</w:t>
            </w:r>
          </w:p>
        </w:tc>
        <w:tc>
          <w:tcPr>
            <w:tcW w:w="3969" w:type="dxa"/>
            <w:tcBorders>
              <w:top w:val="single" w:sz="6" w:space="0" w:color="000000"/>
              <w:left w:val="single" w:sz="6" w:space="0" w:color="000000"/>
              <w:bottom w:val="single" w:sz="6" w:space="0" w:color="000000"/>
              <w:right w:val="single" w:sz="6" w:space="0" w:color="000000"/>
            </w:tcBorders>
          </w:tcPr>
          <w:p w14:paraId="62050620" w14:textId="77777777" w:rsidR="00E304D8" w:rsidRPr="002141F4" w:rsidRDefault="00E304D8" w:rsidP="00FF6CD5">
            <w:pPr>
              <w:spacing w:line="360" w:lineRule="auto"/>
              <w:ind w:left="141" w:right="142"/>
              <w:rPr>
                <w:noProof/>
                <w:szCs w:val="22"/>
              </w:rPr>
            </w:pPr>
            <w:r w:rsidRPr="002141F4">
              <w:rPr>
                <w:noProof/>
                <w:szCs w:val="22"/>
              </w:rPr>
              <w:t>Ηπατική δυσλειτουργία</w:t>
            </w:r>
          </w:p>
          <w:p w14:paraId="75C8EAD7" w14:textId="77777777" w:rsidR="00786AD6" w:rsidRPr="002141F4" w:rsidRDefault="00786AD6" w:rsidP="00FF6CD5">
            <w:pPr>
              <w:widowControl/>
              <w:autoSpaceDE w:val="0"/>
              <w:autoSpaceDN w:val="0"/>
              <w:adjustRightInd w:val="0"/>
              <w:spacing w:line="360" w:lineRule="auto"/>
              <w:rPr>
                <w:szCs w:val="22"/>
                <w:lang w:eastAsia="el-GR"/>
              </w:rPr>
            </w:pPr>
            <w:r w:rsidRPr="002141F4">
              <w:rPr>
                <w:szCs w:val="22"/>
                <w:lang w:eastAsia="el-GR"/>
              </w:rPr>
              <w:t xml:space="preserve">  Ηπατική ανεπάρκεια</w:t>
            </w:r>
          </w:p>
          <w:p w14:paraId="37E6258E" w14:textId="77777777" w:rsidR="00786AD6" w:rsidRPr="002141F4" w:rsidRDefault="00786AD6" w:rsidP="00FF6CD5">
            <w:pPr>
              <w:widowControl/>
              <w:autoSpaceDE w:val="0"/>
              <w:autoSpaceDN w:val="0"/>
              <w:adjustRightInd w:val="0"/>
              <w:spacing w:line="360" w:lineRule="auto"/>
              <w:rPr>
                <w:szCs w:val="22"/>
                <w:lang w:eastAsia="el-GR"/>
              </w:rPr>
            </w:pPr>
            <w:r w:rsidRPr="002141F4">
              <w:rPr>
                <w:szCs w:val="22"/>
                <w:lang w:eastAsia="el-GR"/>
              </w:rPr>
              <w:t xml:space="preserve">  Ηπατική νέκρωση </w:t>
            </w:r>
          </w:p>
          <w:p w14:paraId="133B7E59" w14:textId="77777777" w:rsidR="00786AD6" w:rsidRPr="002141F4" w:rsidRDefault="00786AD6" w:rsidP="00FF6CD5">
            <w:pPr>
              <w:spacing w:line="360" w:lineRule="auto"/>
              <w:ind w:left="141" w:right="142"/>
              <w:rPr>
                <w:noProof/>
                <w:szCs w:val="22"/>
              </w:rPr>
            </w:pPr>
            <w:r w:rsidRPr="002141F4">
              <w:rPr>
                <w:szCs w:val="22"/>
                <w:lang w:eastAsia="zh-CN"/>
              </w:rPr>
              <w:t>Ηπατίτιδα</w:t>
            </w:r>
          </w:p>
        </w:tc>
        <w:tc>
          <w:tcPr>
            <w:tcW w:w="1795" w:type="dxa"/>
            <w:tcBorders>
              <w:top w:val="single" w:sz="6" w:space="0" w:color="000000"/>
              <w:left w:val="single" w:sz="6" w:space="0" w:color="000000"/>
              <w:bottom w:val="single" w:sz="6" w:space="0" w:color="000000"/>
              <w:right w:val="single" w:sz="6" w:space="0" w:color="000000"/>
            </w:tcBorders>
          </w:tcPr>
          <w:p w14:paraId="6C6AD3ED" w14:textId="74F88C9D" w:rsidR="00786AD6" w:rsidRPr="002141F4" w:rsidRDefault="00E304D8" w:rsidP="00FF6CD5">
            <w:pPr>
              <w:spacing w:line="360" w:lineRule="auto"/>
              <w:ind w:left="141" w:right="142"/>
              <w:rPr>
                <w:noProof/>
                <w:szCs w:val="22"/>
              </w:rPr>
            </w:pPr>
            <w:r w:rsidRPr="002141F4">
              <w:rPr>
                <w:noProof/>
                <w:szCs w:val="22"/>
              </w:rPr>
              <w:t>Πολύ σπάνι</w:t>
            </w:r>
            <w:r w:rsidR="00E53DCF">
              <w:rPr>
                <w:noProof/>
                <w:szCs w:val="22"/>
              </w:rPr>
              <w:t>α</w:t>
            </w:r>
          </w:p>
          <w:p w14:paraId="595122C2" w14:textId="77777777" w:rsidR="00786AD6" w:rsidRPr="002141F4" w:rsidRDefault="00786AD6" w:rsidP="00FF6CD5">
            <w:pPr>
              <w:widowControl/>
              <w:spacing w:line="360" w:lineRule="auto"/>
              <w:ind w:left="189"/>
              <w:rPr>
                <w:szCs w:val="22"/>
                <w:lang w:eastAsia="zh-CN"/>
              </w:rPr>
            </w:pPr>
            <w:r w:rsidRPr="002141F4">
              <w:rPr>
                <w:szCs w:val="22"/>
                <w:lang w:eastAsia="zh-CN"/>
              </w:rPr>
              <w:t>Μη γνωστής</w:t>
            </w:r>
          </w:p>
          <w:p w14:paraId="18AF4977" w14:textId="77777777" w:rsidR="00786AD6" w:rsidRPr="002141F4" w:rsidRDefault="00786AD6" w:rsidP="00FF6CD5">
            <w:pPr>
              <w:widowControl/>
              <w:spacing w:line="360" w:lineRule="auto"/>
              <w:ind w:left="189"/>
              <w:rPr>
                <w:szCs w:val="22"/>
                <w:lang w:eastAsia="zh-CN"/>
              </w:rPr>
            </w:pPr>
            <w:r w:rsidRPr="002141F4">
              <w:rPr>
                <w:szCs w:val="22"/>
                <w:lang w:eastAsia="zh-CN"/>
              </w:rPr>
              <w:t>Μη γνωστής</w:t>
            </w:r>
          </w:p>
          <w:p w14:paraId="17A21DAB" w14:textId="77777777" w:rsidR="00E304D8" w:rsidRPr="002141F4" w:rsidRDefault="00786AD6" w:rsidP="00FF6CD5">
            <w:pPr>
              <w:spacing w:line="360" w:lineRule="auto"/>
              <w:ind w:left="189"/>
              <w:rPr>
                <w:szCs w:val="22"/>
              </w:rPr>
            </w:pPr>
            <w:r w:rsidRPr="002141F4">
              <w:rPr>
                <w:szCs w:val="22"/>
                <w:lang w:eastAsia="zh-CN"/>
              </w:rPr>
              <w:t>Μη γνωστής</w:t>
            </w:r>
          </w:p>
        </w:tc>
      </w:tr>
      <w:tr w:rsidR="00786AD6" w:rsidRPr="002141F4" w14:paraId="438F3CA5" w14:textId="77777777" w:rsidTr="00786AD6">
        <w:trPr>
          <w:jc w:val="center"/>
        </w:trPr>
        <w:tc>
          <w:tcPr>
            <w:tcW w:w="3120" w:type="dxa"/>
            <w:tcBorders>
              <w:top w:val="single" w:sz="6" w:space="0" w:color="000000"/>
              <w:left w:val="single" w:sz="6" w:space="0" w:color="000000"/>
              <w:bottom w:val="single" w:sz="6" w:space="0" w:color="000000"/>
              <w:right w:val="single" w:sz="6" w:space="0" w:color="000000"/>
            </w:tcBorders>
          </w:tcPr>
          <w:p w14:paraId="0BD10BB4" w14:textId="77777777" w:rsidR="00786AD6" w:rsidRPr="002141F4" w:rsidRDefault="00786AD6" w:rsidP="00FF6CD5">
            <w:pPr>
              <w:spacing w:line="360" w:lineRule="auto"/>
              <w:ind w:left="141" w:right="142"/>
              <w:rPr>
                <w:noProof/>
                <w:szCs w:val="22"/>
              </w:rPr>
            </w:pPr>
            <w:r w:rsidRPr="002141F4">
              <w:rPr>
                <w:noProof/>
                <w:szCs w:val="22"/>
              </w:rPr>
              <w:t>Αγγειακές διαταραχές</w:t>
            </w:r>
          </w:p>
        </w:tc>
        <w:tc>
          <w:tcPr>
            <w:tcW w:w="3969" w:type="dxa"/>
            <w:tcBorders>
              <w:top w:val="single" w:sz="6" w:space="0" w:color="000000"/>
              <w:left w:val="single" w:sz="6" w:space="0" w:color="000000"/>
              <w:bottom w:val="single" w:sz="6" w:space="0" w:color="000000"/>
              <w:right w:val="single" w:sz="6" w:space="0" w:color="000000"/>
            </w:tcBorders>
          </w:tcPr>
          <w:p w14:paraId="6DBAA352" w14:textId="77777777" w:rsidR="00786AD6" w:rsidRPr="002141F4" w:rsidRDefault="00786AD6" w:rsidP="00FF6CD5">
            <w:pPr>
              <w:spacing w:line="360" w:lineRule="auto"/>
              <w:ind w:left="141" w:right="142"/>
              <w:rPr>
                <w:noProof/>
                <w:szCs w:val="22"/>
              </w:rPr>
            </w:pPr>
            <w:r w:rsidRPr="002141F4">
              <w:rPr>
                <w:noProof/>
                <w:szCs w:val="22"/>
              </w:rPr>
              <w:t>Υπόταση (ως σύμπτωμα αναφυλαξίας)</w:t>
            </w:r>
          </w:p>
        </w:tc>
        <w:tc>
          <w:tcPr>
            <w:tcW w:w="1795" w:type="dxa"/>
            <w:tcBorders>
              <w:top w:val="single" w:sz="6" w:space="0" w:color="000000"/>
              <w:left w:val="single" w:sz="6" w:space="0" w:color="000000"/>
              <w:bottom w:val="single" w:sz="6" w:space="0" w:color="000000"/>
              <w:right w:val="single" w:sz="6" w:space="0" w:color="000000"/>
            </w:tcBorders>
          </w:tcPr>
          <w:p w14:paraId="2C188411" w14:textId="77777777" w:rsidR="00786AD6" w:rsidRPr="002141F4" w:rsidRDefault="00786AD6" w:rsidP="00FF6CD5">
            <w:pPr>
              <w:spacing w:line="360" w:lineRule="auto"/>
              <w:ind w:left="141" w:right="142"/>
              <w:rPr>
                <w:noProof/>
                <w:szCs w:val="22"/>
              </w:rPr>
            </w:pPr>
            <w:r w:rsidRPr="002141F4">
              <w:rPr>
                <w:noProof/>
                <w:szCs w:val="22"/>
              </w:rPr>
              <w:t>Μη γνωστής</w:t>
            </w:r>
          </w:p>
        </w:tc>
      </w:tr>
      <w:tr w:rsidR="00786AD6" w:rsidRPr="002141F4" w14:paraId="3A46B609" w14:textId="77777777" w:rsidTr="00786AD6">
        <w:trPr>
          <w:jc w:val="center"/>
        </w:trPr>
        <w:tc>
          <w:tcPr>
            <w:tcW w:w="3120" w:type="dxa"/>
            <w:tcBorders>
              <w:top w:val="single" w:sz="6" w:space="0" w:color="000000"/>
              <w:left w:val="single" w:sz="6" w:space="0" w:color="000000"/>
              <w:bottom w:val="single" w:sz="6" w:space="0" w:color="000000"/>
              <w:right w:val="single" w:sz="6" w:space="0" w:color="000000"/>
            </w:tcBorders>
          </w:tcPr>
          <w:p w14:paraId="69164FD2" w14:textId="77777777" w:rsidR="00786AD6" w:rsidRPr="002141F4" w:rsidRDefault="00786AD6" w:rsidP="00FF6CD5">
            <w:pPr>
              <w:spacing w:line="360" w:lineRule="auto"/>
              <w:ind w:left="141" w:right="142"/>
              <w:rPr>
                <w:noProof/>
                <w:szCs w:val="22"/>
              </w:rPr>
            </w:pPr>
            <w:r w:rsidRPr="002141F4">
              <w:rPr>
                <w:noProof/>
                <w:szCs w:val="22"/>
              </w:rPr>
              <w:t xml:space="preserve">Διαταραχές του γαστρεντερικού συστήματος </w:t>
            </w:r>
          </w:p>
        </w:tc>
        <w:tc>
          <w:tcPr>
            <w:tcW w:w="3969" w:type="dxa"/>
            <w:tcBorders>
              <w:top w:val="single" w:sz="6" w:space="0" w:color="000000"/>
              <w:left w:val="single" w:sz="6" w:space="0" w:color="000000"/>
              <w:bottom w:val="single" w:sz="6" w:space="0" w:color="000000"/>
              <w:right w:val="single" w:sz="6" w:space="0" w:color="000000"/>
            </w:tcBorders>
          </w:tcPr>
          <w:p w14:paraId="180108E1" w14:textId="77777777" w:rsidR="00786AD6" w:rsidRPr="002141F4" w:rsidRDefault="00786AD6" w:rsidP="00FF6CD5">
            <w:pPr>
              <w:spacing w:line="360" w:lineRule="auto"/>
              <w:ind w:left="141" w:right="142"/>
              <w:rPr>
                <w:noProof/>
                <w:szCs w:val="22"/>
              </w:rPr>
            </w:pPr>
            <w:r w:rsidRPr="002141F4">
              <w:rPr>
                <w:noProof/>
                <w:szCs w:val="22"/>
              </w:rPr>
              <w:t xml:space="preserve">Διάρροια </w:t>
            </w:r>
          </w:p>
          <w:p w14:paraId="7ABE4E31" w14:textId="77777777" w:rsidR="00786AD6" w:rsidRPr="002141F4" w:rsidRDefault="00786AD6" w:rsidP="00FF6CD5">
            <w:pPr>
              <w:spacing w:line="360" w:lineRule="auto"/>
              <w:ind w:left="141" w:right="142"/>
              <w:rPr>
                <w:noProof/>
                <w:szCs w:val="22"/>
              </w:rPr>
            </w:pPr>
            <w:r w:rsidRPr="002141F4">
              <w:rPr>
                <w:noProof/>
                <w:szCs w:val="22"/>
              </w:rPr>
              <w:t xml:space="preserve">Κοιλιακό άλγος </w:t>
            </w:r>
          </w:p>
        </w:tc>
        <w:tc>
          <w:tcPr>
            <w:tcW w:w="1795" w:type="dxa"/>
            <w:tcBorders>
              <w:top w:val="single" w:sz="6" w:space="0" w:color="000000"/>
              <w:left w:val="single" w:sz="6" w:space="0" w:color="000000"/>
              <w:bottom w:val="single" w:sz="6" w:space="0" w:color="000000"/>
              <w:right w:val="single" w:sz="6" w:space="0" w:color="000000"/>
            </w:tcBorders>
          </w:tcPr>
          <w:p w14:paraId="71CA9F50" w14:textId="77777777" w:rsidR="00786AD6" w:rsidRPr="002141F4" w:rsidRDefault="00786AD6" w:rsidP="00FF6CD5">
            <w:pPr>
              <w:spacing w:line="360" w:lineRule="auto"/>
              <w:ind w:left="141" w:right="142"/>
              <w:rPr>
                <w:noProof/>
                <w:szCs w:val="22"/>
              </w:rPr>
            </w:pPr>
            <w:r w:rsidRPr="002141F4">
              <w:rPr>
                <w:noProof/>
                <w:szCs w:val="22"/>
              </w:rPr>
              <w:t>Μη γνωστής</w:t>
            </w:r>
          </w:p>
          <w:p w14:paraId="054EC776" w14:textId="77777777" w:rsidR="00786AD6" w:rsidRPr="002141F4" w:rsidRDefault="00786AD6" w:rsidP="00FF6CD5">
            <w:pPr>
              <w:spacing w:line="360" w:lineRule="auto"/>
              <w:ind w:left="141" w:right="142"/>
              <w:rPr>
                <w:noProof/>
                <w:szCs w:val="22"/>
              </w:rPr>
            </w:pPr>
            <w:r w:rsidRPr="002141F4">
              <w:rPr>
                <w:noProof/>
                <w:szCs w:val="22"/>
              </w:rPr>
              <w:t>Μη γνωστής</w:t>
            </w:r>
          </w:p>
        </w:tc>
      </w:tr>
      <w:tr w:rsidR="00786AD6" w:rsidRPr="002141F4" w14:paraId="29D905F5" w14:textId="77777777" w:rsidTr="00786AD6">
        <w:trPr>
          <w:jc w:val="center"/>
        </w:trPr>
        <w:tc>
          <w:tcPr>
            <w:tcW w:w="3120" w:type="dxa"/>
            <w:tcBorders>
              <w:top w:val="single" w:sz="6" w:space="0" w:color="000000"/>
              <w:left w:val="single" w:sz="6" w:space="0" w:color="000000"/>
              <w:bottom w:val="single" w:sz="6" w:space="0" w:color="000000"/>
              <w:right w:val="single" w:sz="6" w:space="0" w:color="000000"/>
            </w:tcBorders>
          </w:tcPr>
          <w:p w14:paraId="45C24BA4" w14:textId="77777777" w:rsidR="00786AD6" w:rsidRPr="002141F4" w:rsidRDefault="00786AD6" w:rsidP="00FF6CD5">
            <w:pPr>
              <w:spacing w:line="360" w:lineRule="auto"/>
              <w:ind w:left="141" w:right="142"/>
              <w:rPr>
                <w:noProof/>
                <w:szCs w:val="22"/>
              </w:rPr>
            </w:pPr>
            <w:r w:rsidRPr="002141F4">
              <w:rPr>
                <w:noProof/>
                <w:szCs w:val="22"/>
              </w:rPr>
              <w:t xml:space="preserve">Διαταραχές του δέρματος και του υποδόριου ιστού </w:t>
            </w:r>
          </w:p>
        </w:tc>
        <w:tc>
          <w:tcPr>
            <w:tcW w:w="3969" w:type="dxa"/>
            <w:tcBorders>
              <w:top w:val="single" w:sz="6" w:space="0" w:color="000000"/>
              <w:left w:val="single" w:sz="6" w:space="0" w:color="000000"/>
              <w:bottom w:val="single" w:sz="6" w:space="0" w:color="000000"/>
              <w:right w:val="single" w:sz="6" w:space="0" w:color="000000"/>
            </w:tcBorders>
          </w:tcPr>
          <w:p w14:paraId="49DC9A49" w14:textId="77777777" w:rsidR="00786AD6" w:rsidRPr="002141F4" w:rsidRDefault="00786AD6" w:rsidP="00FF6CD5">
            <w:pPr>
              <w:spacing w:line="360" w:lineRule="auto"/>
              <w:ind w:left="141" w:right="142"/>
              <w:rPr>
                <w:noProof/>
                <w:szCs w:val="22"/>
              </w:rPr>
            </w:pPr>
            <w:r w:rsidRPr="002141F4">
              <w:rPr>
                <w:noProof/>
                <w:szCs w:val="22"/>
              </w:rPr>
              <w:t xml:space="preserve">Κνίδωση </w:t>
            </w:r>
          </w:p>
          <w:p w14:paraId="2F17B5D7" w14:textId="77777777" w:rsidR="00786AD6" w:rsidRPr="002141F4" w:rsidRDefault="00786AD6" w:rsidP="00FF6CD5">
            <w:pPr>
              <w:spacing w:line="360" w:lineRule="auto"/>
              <w:ind w:left="141" w:right="142"/>
              <w:rPr>
                <w:noProof/>
                <w:szCs w:val="22"/>
              </w:rPr>
            </w:pPr>
            <w:r w:rsidRPr="002141F4">
              <w:rPr>
                <w:noProof/>
                <w:szCs w:val="22"/>
              </w:rPr>
              <w:t xml:space="preserve">Ερύθημα </w:t>
            </w:r>
          </w:p>
          <w:p w14:paraId="3BA7D258" w14:textId="77777777" w:rsidR="00786AD6" w:rsidRPr="002141F4" w:rsidRDefault="00786AD6" w:rsidP="00FF6CD5">
            <w:pPr>
              <w:spacing w:line="360" w:lineRule="auto"/>
              <w:ind w:left="141" w:right="142"/>
              <w:rPr>
                <w:noProof/>
                <w:szCs w:val="22"/>
              </w:rPr>
            </w:pPr>
            <w:r w:rsidRPr="002141F4">
              <w:rPr>
                <w:noProof/>
                <w:szCs w:val="22"/>
              </w:rPr>
              <w:t xml:space="preserve">Εξάνθημα </w:t>
            </w:r>
          </w:p>
          <w:p w14:paraId="303D609F" w14:textId="7E37669B" w:rsidR="00786AD6" w:rsidRPr="002141F4" w:rsidRDefault="00786AD6" w:rsidP="00FF6CD5">
            <w:pPr>
              <w:spacing w:line="360" w:lineRule="auto"/>
              <w:ind w:left="141" w:right="142"/>
              <w:rPr>
                <w:noProof/>
                <w:szCs w:val="22"/>
              </w:rPr>
            </w:pPr>
            <w:r w:rsidRPr="002141F4">
              <w:rPr>
                <w:noProof/>
                <w:szCs w:val="22"/>
              </w:rPr>
              <w:t xml:space="preserve">Οξεία γενικευμένη εξανθηματική </w:t>
            </w:r>
            <w:r w:rsidR="00E53DCF">
              <w:rPr>
                <w:noProof/>
                <w:szCs w:val="22"/>
              </w:rPr>
              <w:t>φ</w:t>
            </w:r>
            <w:r w:rsidRPr="002141F4">
              <w:rPr>
                <w:noProof/>
                <w:szCs w:val="22"/>
              </w:rPr>
              <w:t xml:space="preserve">λυκταίνωση </w:t>
            </w:r>
          </w:p>
          <w:p w14:paraId="3DB087C2" w14:textId="77777777" w:rsidR="00786AD6" w:rsidRPr="002141F4" w:rsidRDefault="00786AD6" w:rsidP="00FF6CD5">
            <w:pPr>
              <w:spacing w:line="360" w:lineRule="auto"/>
              <w:ind w:left="141" w:right="142"/>
              <w:rPr>
                <w:noProof/>
                <w:szCs w:val="22"/>
              </w:rPr>
            </w:pPr>
            <w:r w:rsidRPr="002141F4">
              <w:rPr>
                <w:noProof/>
                <w:szCs w:val="22"/>
              </w:rPr>
              <w:t xml:space="preserve">Τοξική επιδερμική νεκρόλυση </w:t>
            </w:r>
          </w:p>
          <w:p w14:paraId="3854E8B5" w14:textId="77777777" w:rsidR="00786AD6" w:rsidRPr="002141F4" w:rsidRDefault="00786AD6" w:rsidP="00FF6CD5">
            <w:pPr>
              <w:spacing w:line="360" w:lineRule="auto"/>
              <w:ind w:left="141" w:right="142"/>
              <w:rPr>
                <w:noProof/>
                <w:szCs w:val="22"/>
              </w:rPr>
            </w:pPr>
            <w:r w:rsidRPr="002141F4">
              <w:rPr>
                <w:noProof/>
                <w:szCs w:val="22"/>
              </w:rPr>
              <w:t xml:space="preserve">Σύνδρομο Stevens-Johnson </w:t>
            </w:r>
          </w:p>
          <w:p w14:paraId="2C702951" w14:textId="77777777" w:rsidR="00786AD6" w:rsidRPr="002141F4" w:rsidRDefault="00786AD6" w:rsidP="00FF6CD5">
            <w:pPr>
              <w:spacing w:line="360" w:lineRule="auto"/>
              <w:ind w:left="141" w:right="142"/>
              <w:rPr>
                <w:noProof/>
                <w:szCs w:val="22"/>
              </w:rPr>
            </w:pPr>
            <w:r w:rsidRPr="002141F4">
              <w:rPr>
                <w:noProof/>
                <w:szCs w:val="22"/>
              </w:rPr>
              <w:t xml:space="preserve">Αγγειοοίδημα </w:t>
            </w:r>
          </w:p>
          <w:p w14:paraId="65EDDFCA" w14:textId="77777777" w:rsidR="00786AD6" w:rsidRPr="002141F4" w:rsidRDefault="00786AD6" w:rsidP="00FF6CD5">
            <w:pPr>
              <w:spacing w:line="360" w:lineRule="auto"/>
              <w:ind w:left="141" w:right="142"/>
              <w:rPr>
                <w:noProof/>
                <w:szCs w:val="22"/>
              </w:rPr>
            </w:pPr>
            <w:r w:rsidRPr="002141F4">
              <w:rPr>
                <w:noProof/>
                <w:szCs w:val="22"/>
              </w:rPr>
              <w:lastRenderedPageBreak/>
              <w:t xml:space="preserve">Κνησμός </w:t>
            </w:r>
          </w:p>
        </w:tc>
        <w:tc>
          <w:tcPr>
            <w:tcW w:w="1795" w:type="dxa"/>
            <w:tcBorders>
              <w:top w:val="single" w:sz="6" w:space="0" w:color="000000"/>
              <w:left w:val="single" w:sz="6" w:space="0" w:color="000000"/>
              <w:bottom w:val="single" w:sz="6" w:space="0" w:color="000000"/>
              <w:right w:val="single" w:sz="6" w:space="0" w:color="000000"/>
            </w:tcBorders>
          </w:tcPr>
          <w:p w14:paraId="71AF40A4" w14:textId="77777777" w:rsidR="00786AD6" w:rsidRPr="002141F4" w:rsidRDefault="00786AD6" w:rsidP="00FF6CD5">
            <w:pPr>
              <w:spacing w:line="360" w:lineRule="auto"/>
              <w:ind w:left="141" w:right="142"/>
              <w:rPr>
                <w:noProof/>
                <w:szCs w:val="22"/>
              </w:rPr>
            </w:pPr>
            <w:r w:rsidRPr="002141F4">
              <w:rPr>
                <w:noProof/>
                <w:szCs w:val="22"/>
              </w:rPr>
              <w:lastRenderedPageBreak/>
              <w:t>Μη γνωστής</w:t>
            </w:r>
          </w:p>
          <w:p w14:paraId="6B4FC1DF" w14:textId="77777777" w:rsidR="00786AD6" w:rsidRPr="002141F4" w:rsidRDefault="00786AD6" w:rsidP="00FF6CD5">
            <w:pPr>
              <w:spacing w:line="360" w:lineRule="auto"/>
              <w:ind w:left="141" w:right="142"/>
              <w:rPr>
                <w:noProof/>
                <w:szCs w:val="22"/>
              </w:rPr>
            </w:pPr>
            <w:r w:rsidRPr="002141F4">
              <w:rPr>
                <w:noProof/>
                <w:szCs w:val="22"/>
              </w:rPr>
              <w:t>Μη γνωστής</w:t>
            </w:r>
          </w:p>
          <w:p w14:paraId="6DCD703C" w14:textId="77777777" w:rsidR="00786AD6" w:rsidRPr="002141F4" w:rsidRDefault="00786AD6" w:rsidP="00FF6CD5">
            <w:pPr>
              <w:spacing w:line="360" w:lineRule="auto"/>
              <w:ind w:left="141" w:right="142"/>
              <w:rPr>
                <w:noProof/>
                <w:szCs w:val="22"/>
              </w:rPr>
            </w:pPr>
            <w:r w:rsidRPr="002141F4">
              <w:rPr>
                <w:noProof/>
                <w:szCs w:val="22"/>
              </w:rPr>
              <w:t>Πολύ σπάνια</w:t>
            </w:r>
          </w:p>
          <w:p w14:paraId="7D57A11C" w14:textId="77777777" w:rsidR="00E03011" w:rsidRPr="002141F4" w:rsidRDefault="00E03011" w:rsidP="00FF6CD5">
            <w:pPr>
              <w:spacing w:line="360" w:lineRule="auto"/>
              <w:ind w:right="142"/>
              <w:rPr>
                <w:noProof/>
                <w:szCs w:val="22"/>
              </w:rPr>
            </w:pPr>
          </w:p>
          <w:p w14:paraId="25CC9DFE" w14:textId="77777777" w:rsidR="00786AD6" w:rsidRPr="002141F4" w:rsidRDefault="00C46485" w:rsidP="00FF6CD5">
            <w:pPr>
              <w:spacing w:line="360" w:lineRule="auto"/>
              <w:ind w:right="142"/>
              <w:rPr>
                <w:noProof/>
                <w:szCs w:val="22"/>
              </w:rPr>
            </w:pPr>
            <w:r w:rsidRPr="002141F4">
              <w:rPr>
                <w:noProof/>
                <w:szCs w:val="22"/>
              </w:rPr>
              <w:t xml:space="preserve">  </w:t>
            </w:r>
            <w:r w:rsidR="00786AD6" w:rsidRPr="002141F4">
              <w:rPr>
                <w:noProof/>
                <w:szCs w:val="22"/>
              </w:rPr>
              <w:t>Μη γνωστής</w:t>
            </w:r>
          </w:p>
          <w:p w14:paraId="35D5E5A0" w14:textId="77777777" w:rsidR="00786AD6" w:rsidRPr="002141F4" w:rsidRDefault="00E03011" w:rsidP="00FF6CD5">
            <w:pPr>
              <w:spacing w:line="360" w:lineRule="auto"/>
              <w:ind w:right="142"/>
              <w:rPr>
                <w:noProof/>
                <w:szCs w:val="22"/>
              </w:rPr>
            </w:pPr>
            <w:r w:rsidRPr="002141F4">
              <w:rPr>
                <w:noProof/>
                <w:szCs w:val="22"/>
              </w:rPr>
              <w:t xml:space="preserve">  </w:t>
            </w:r>
            <w:r w:rsidR="00786AD6" w:rsidRPr="002141F4">
              <w:rPr>
                <w:noProof/>
                <w:szCs w:val="22"/>
              </w:rPr>
              <w:t>Πολύ σπάνια</w:t>
            </w:r>
          </w:p>
          <w:p w14:paraId="69D7087C" w14:textId="77777777" w:rsidR="00786AD6" w:rsidRPr="002141F4" w:rsidRDefault="00786AD6" w:rsidP="00FF6CD5">
            <w:pPr>
              <w:spacing w:line="360" w:lineRule="auto"/>
              <w:ind w:left="141" w:right="142"/>
              <w:rPr>
                <w:noProof/>
                <w:szCs w:val="22"/>
              </w:rPr>
            </w:pPr>
            <w:r w:rsidRPr="002141F4">
              <w:rPr>
                <w:noProof/>
                <w:szCs w:val="22"/>
              </w:rPr>
              <w:t>Πολύ σπάνια</w:t>
            </w:r>
          </w:p>
          <w:p w14:paraId="796D6352" w14:textId="77777777" w:rsidR="00786AD6" w:rsidRPr="002141F4" w:rsidRDefault="00786AD6" w:rsidP="00FF6CD5">
            <w:pPr>
              <w:spacing w:line="360" w:lineRule="auto"/>
              <w:ind w:left="141" w:right="142"/>
              <w:rPr>
                <w:noProof/>
                <w:szCs w:val="22"/>
              </w:rPr>
            </w:pPr>
            <w:r w:rsidRPr="002141F4">
              <w:rPr>
                <w:noProof/>
                <w:szCs w:val="22"/>
              </w:rPr>
              <w:t>Πολύ σπάνια</w:t>
            </w:r>
          </w:p>
          <w:p w14:paraId="74883EAA" w14:textId="77777777" w:rsidR="00786AD6" w:rsidRPr="002141F4" w:rsidRDefault="00786AD6" w:rsidP="00FF6CD5">
            <w:pPr>
              <w:spacing w:line="360" w:lineRule="auto"/>
              <w:ind w:left="141" w:right="142"/>
              <w:rPr>
                <w:noProof/>
                <w:szCs w:val="22"/>
              </w:rPr>
            </w:pPr>
            <w:r w:rsidRPr="002141F4">
              <w:rPr>
                <w:noProof/>
                <w:szCs w:val="22"/>
              </w:rPr>
              <w:lastRenderedPageBreak/>
              <w:t>Μη γνωστή</w:t>
            </w:r>
            <w:r w:rsidRPr="00E53DCF">
              <w:rPr>
                <w:noProof/>
                <w:szCs w:val="22"/>
              </w:rPr>
              <w:t>ς</w:t>
            </w:r>
          </w:p>
        </w:tc>
      </w:tr>
      <w:tr w:rsidR="00786AD6" w:rsidRPr="002141F4" w14:paraId="4054764B" w14:textId="77777777" w:rsidTr="00786AD6">
        <w:trPr>
          <w:jc w:val="center"/>
        </w:trPr>
        <w:tc>
          <w:tcPr>
            <w:tcW w:w="3120" w:type="dxa"/>
            <w:tcBorders>
              <w:top w:val="single" w:sz="6" w:space="0" w:color="000000"/>
              <w:left w:val="single" w:sz="6" w:space="0" w:color="000000"/>
              <w:bottom w:val="single" w:sz="6" w:space="0" w:color="000000"/>
              <w:right w:val="single" w:sz="6" w:space="0" w:color="000000"/>
            </w:tcBorders>
          </w:tcPr>
          <w:p w14:paraId="05C647C6" w14:textId="77777777" w:rsidR="00786AD6" w:rsidRPr="002141F4" w:rsidRDefault="00786AD6" w:rsidP="00FF6CD5">
            <w:pPr>
              <w:spacing w:line="360" w:lineRule="auto"/>
              <w:ind w:left="141" w:right="142"/>
              <w:rPr>
                <w:noProof/>
                <w:szCs w:val="22"/>
              </w:rPr>
            </w:pPr>
            <w:r w:rsidRPr="002141F4">
              <w:rPr>
                <w:noProof/>
                <w:szCs w:val="22"/>
              </w:rPr>
              <w:lastRenderedPageBreak/>
              <w:t xml:space="preserve">Παρακλινικές εξετάσεις </w:t>
            </w:r>
          </w:p>
          <w:p w14:paraId="22BC1A26" w14:textId="77777777" w:rsidR="00786AD6" w:rsidRPr="002141F4" w:rsidRDefault="00786AD6" w:rsidP="00FF6CD5">
            <w:pPr>
              <w:spacing w:line="360" w:lineRule="auto"/>
              <w:ind w:left="141" w:right="142"/>
              <w:rPr>
                <w:noProof/>
                <w:szCs w:val="22"/>
              </w:rPr>
            </w:pPr>
          </w:p>
        </w:tc>
        <w:tc>
          <w:tcPr>
            <w:tcW w:w="3969" w:type="dxa"/>
            <w:tcBorders>
              <w:top w:val="single" w:sz="6" w:space="0" w:color="000000"/>
              <w:left w:val="single" w:sz="6" w:space="0" w:color="000000"/>
              <w:bottom w:val="single" w:sz="6" w:space="0" w:color="000000"/>
              <w:right w:val="single" w:sz="6" w:space="0" w:color="000000"/>
            </w:tcBorders>
          </w:tcPr>
          <w:p w14:paraId="2543E585" w14:textId="77777777" w:rsidR="00786AD6" w:rsidRPr="002141F4" w:rsidRDefault="00786AD6" w:rsidP="00FF6CD5">
            <w:pPr>
              <w:spacing w:line="360" w:lineRule="auto"/>
              <w:ind w:left="141" w:right="142"/>
              <w:rPr>
                <w:noProof/>
                <w:szCs w:val="22"/>
              </w:rPr>
            </w:pPr>
            <w:r w:rsidRPr="002141F4">
              <w:rPr>
                <w:noProof/>
                <w:szCs w:val="22"/>
              </w:rPr>
              <w:t xml:space="preserve">Ηπατικά ένζυμα αυξημένα </w:t>
            </w:r>
          </w:p>
          <w:p w14:paraId="38C8DE42" w14:textId="77777777" w:rsidR="00786AD6" w:rsidRPr="002141F4" w:rsidRDefault="00786AD6" w:rsidP="00FF6CD5">
            <w:pPr>
              <w:spacing w:line="360" w:lineRule="auto"/>
              <w:ind w:left="141" w:right="142"/>
              <w:rPr>
                <w:noProof/>
                <w:szCs w:val="22"/>
              </w:rPr>
            </w:pPr>
            <w:r w:rsidRPr="002141F4">
              <w:rPr>
                <w:noProof/>
                <w:szCs w:val="22"/>
              </w:rPr>
              <w:t xml:space="preserve">Διεθνής Ομαλοποιημένη Σχέση μειωμένη </w:t>
            </w:r>
          </w:p>
          <w:p w14:paraId="0D0353A2" w14:textId="77777777" w:rsidR="00786AD6" w:rsidRPr="002141F4" w:rsidRDefault="00786AD6" w:rsidP="00FF6CD5">
            <w:pPr>
              <w:spacing w:line="360" w:lineRule="auto"/>
              <w:ind w:left="141" w:right="142"/>
              <w:rPr>
                <w:noProof/>
                <w:szCs w:val="22"/>
              </w:rPr>
            </w:pPr>
            <w:r w:rsidRPr="002141F4">
              <w:rPr>
                <w:noProof/>
                <w:szCs w:val="22"/>
              </w:rPr>
              <w:t xml:space="preserve">Διεθνής Ομαλοποιημένη Σχέση αυξημένη </w:t>
            </w:r>
          </w:p>
        </w:tc>
        <w:tc>
          <w:tcPr>
            <w:tcW w:w="1795" w:type="dxa"/>
            <w:tcBorders>
              <w:top w:val="single" w:sz="6" w:space="0" w:color="000000"/>
              <w:left w:val="single" w:sz="6" w:space="0" w:color="000000"/>
              <w:bottom w:val="single" w:sz="6" w:space="0" w:color="000000"/>
              <w:right w:val="single" w:sz="6" w:space="0" w:color="000000"/>
            </w:tcBorders>
          </w:tcPr>
          <w:p w14:paraId="53AC3688" w14:textId="77777777" w:rsidR="00786AD6" w:rsidRPr="002141F4" w:rsidRDefault="00786AD6" w:rsidP="00FF6CD5">
            <w:pPr>
              <w:spacing w:line="360" w:lineRule="auto"/>
              <w:ind w:left="141" w:right="142"/>
              <w:rPr>
                <w:noProof/>
                <w:szCs w:val="22"/>
              </w:rPr>
            </w:pPr>
            <w:r w:rsidRPr="002141F4">
              <w:rPr>
                <w:noProof/>
                <w:szCs w:val="22"/>
              </w:rPr>
              <w:t>Μη γνωστής</w:t>
            </w:r>
          </w:p>
          <w:p w14:paraId="10B4E097" w14:textId="77777777" w:rsidR="006B5E37" w:rsidRPr="002141F4" w:rsidRDefault="006B5E37" w:rsidP="00FF6CD5">
            <w:pPr>
              <w:spacing w:line="360" w:lineRule="auto"/>
              <w:ind w:left="141" w:right="142"/>
              <w:rPr>
                <w:noProof/>
                <w:szCs w:val="22"/>
              </w:rPr>
            </w:pPr>
          </w:p>
          <w:p w14:paraId="0618CAE3" w14:textId="77777777" w:rsidR="00786AD6" w:rsidRPr="002141F4" w:rsidRDefault="00786AD6" w:rsidP="00FF6CD5">
            <w:pPr>
              <w:spacing w:line="360" w:lineRule="auto"/>
              <w:ind w:left="141" w:right="142"/>
              <w:rPr>
                <w:noProof/>
                <w:szCs w:val="22"/>
              </w:rPr>
            </w:pPr>
            <w:r w:rsidRPr="002141F4">
              <w:rPr>
                <w:noProof/>
                <w:szCs w:val="22"/>
              </w:rPr>
              <w:t>Μη γνωστής</w:t>
            </w:r>
          </w:p>
          <w:p w14:paraId="002C2BA1" w14:textId="77777777" w:rsidR="006B5E37" w:rsidRPr="002141F4" w:rsidRDefault="006B5E37" w:rsidP="00FF6CD5">
            <w:pPr>
              <w:spacing w:line="360" w:lineRule="auto"/>
              <w:ind w:left="141" w:right="142"/>
              <w:rPr>
                <w:noProof/>
                <w:szCs w:val="22"/>
              </w:rPr>
            </w:pPr>
          </w:p>
          <w:p w14:paraId="399265B4" w14:textId="77777777" w:rsidR="00786AD6" w:rsidRPr="002141F4" w:rsidRDefault="00786AD6" w:rsidP="00FF6CD5">
            <w:pPr>
              <w:spacing w:line="360" w:lineRule="auto"/>
              <w:ind w:left="141" w:right="142"/>
              <w:rPr>
                <w:noProof/>
                <w:szCs w:val="22"/>
              </w:rPr>
            </w:pPr>
            <w:r w:rsidRPr="002141F4">
              <w:rPr>
                <w:noProof/>
                <w:szCs w:val="22"/>
              </w:rPr>
              <w:t>Μη γνωστής</w:t>
            </w:r>
          </w:p>
        </w:tc>
      </w:tr>
    </w:tbl>
    <w:p w14:paraId="034B038D" w14:textId="77777777" w:rsidR="00E304D8" w:rsidRPr="002141F4" w:rsidRDefault="00E304D8" w:rsidP="00FF6CD5">
      <w:pPr>
        <w:spacing w:line="360" w:lineRule="auto"/>
        <w:jc w:val="both"/>
        <w:rPr>
          <w:szCs w:val="22"/>
        </w:rPr>
      </w:pPr>
    </w:p>
    <w:p w14:paraId="6FD3E5B4" w14:textId="77777777" w:rsidR="00496809" w:rsidRPr="002141F4" w:rsidRDefault="00F37219" w:rsidP="00FF6CD5">
      <w:pPr>
        <w:spacing w:line="360" w:lineRule="auto"/>
        <w:rPr>
          <w:noProof/>
          <w:szCs w:val="22"/>
        </w:rPr>
      </w:pPr>
      <w:r w:rsidRPr="002141F4">
        <w:rPr>
          <w:noProof/>
          <w:szCs w:val="22"/>
        </w:rPr>
        <w:t xml:space="preserve">Κατά τη χρόνια λήψη ή τη λήψη μεγάλων δόσεων αναφέρονται </w:t>
      </w:r>
      <w:r w:rsidR="00CD335D" w:rsidRPr="002141F4">
        <w:rPr>
          <w:noProof/>
          <w:szCs w:val="22"/>
        </w:rPr>
        <w:t xml:space="preserve">ήπια </w:t>
      </w:r>
      <w:r w:rsidRPr="002141F4">
        <w:rPr>
          <w:noProof/>
          <w:szCs w:val="22"/>
        </w:rPr>
        <w:t>γαστρικά ενοχλήματα, αιμολυτική αναιμία, ακοκκιοκυτταραιμία, μεθαιμοσφαιριναιμία, δερματικά εξανθήματα, κνίδωση, πυρετός, υπογλ</w:t>
      </w:r>
      <w:r w:rsidR="00990395" w:rsidRPr="002141F4">
        <w:rPr>
          <w:noProof/>
          <w:szCs w:val="22"/>
        </w:rPr>
        <w:t xml:space="preserve">υκαιμία, διέγερση του </w:t>
      </w:r>
      <w:r w:rsidR="00036B23" w:rsidRPr="002141F4">
        <w:rPr>
          <w:noProof/>
          <w:szCs w:val="22"/>
        </w:rPr>
        <w:t>κεντρικού νευρικού συστήματος (</w:t>
      </w:r>
      <w:r w:rsidR="00990395" w:rsidRPr="002141F4">
        <w:rPr>
          <w:noProof/>
          <w:szCs w:val="22"/>
        </w:rPr>
        <w:t>ΚΝΣ</w:t>
      </w:r>
      <w:r w:rsidR="00036B23" w:rsidRPr="002141F4">
        <w:rPr>
          <w:noProof/>
          <w:szCs w:val="22"/>
        </w:rPr>
        <w:t>)</w:t>
      </w:r>
      <w:r w:rsidRPr="002141F4">
        <w:rPr>
          <w:noProof/>
          <w:szCs w:val="22"/>
        </w:rPr>
        <w:t xml:space="preserve"> ή υπνηλία</w:t>
      </w:r>
      <w:r w:rsidR="003A0699" w:rsidRPr="002141F4">
        <w:rPr>
          <w:noProof/>
          <w:szCs w:val="22"/>
        </w:rPr>
        <w:t xml:space="preserve"> και</w:t>
      </w:r>
      <w:r w:rsidRPr="002141F4">
        <w:rPr>
          <w:noProof/>
          <w:szCs w:val="22"/>
        </w:rPr>
        <w:t xml:space="preserve"> θρομβοπενική πορφύρα. Παρατεταμένη λήψη υψηλών δόσεων μπορεί να προκαλέσει νεφροπάθεια και σπανίως παγκρεατίτιδα.</w:t>
      </w:r>
    </w:p>
    <w:p w14:paraId="2F200E0D" w14:textId="77777777" w:rsidR="00D475C9" w:rsidRPr="002141F4" w:rsidRDefault="00D475C9" w:rsidP="00FF6CD5">
      <w:pPr>
        <w:spacing w:line="360" w:lineRule="auto"/>
        <w:rPr>
          <w:noProof/>
          <w:szCs w:val="22"/>
        </w:rPr>
      </w:pPr>
      <w:r w:rsidRPr="002141F4">
        <w:rPr>
          <w:noProof/>
          <w:szCs w:val="22"/>
        </w:rPr>
        <w:t>Σε σπάνιες περιπτώσεις έχουν αναφερθεί ναυτία, ξαφνική απώλεια βάρους, απώλεια όρεξης και ίκτερος.</w:t>
      </w:r>
    </w:p>
    <w:p w14:paraId="3999F60B" w14:textId="71791DEC" w:rsidR="00A52D0B" w:rsidRPr="002141F4" w:rsidRDefault="00786AD6" w:rsidP="00FF6CD5">
      <w:pPr>
        <w:autoSpaceDE w:val="0"/>
        <w:autoSpaceDN w:val="0"/>
        <w:adjustRightInd w:val="0"/>
        <w:spacing w:line="360" w:lineRule="auto"/>
        <w:rPr>
          <w:i/>
          <w:noProof/>
          <w:szCs w:val="22"/>
        </w:rPr>
      </w:pPr>
      <w:r w:rsidRPr="002141F4">
        <w:rPr>
          <w:szCs w:val="22"/>
          <w:lang w:eastAsia="zh-CN"/>
        </w:rPr>
        <w:t>Η παρακεταμόλη μπορεί να προκαλέσει σοβαρές δερματικές αντιδράσεις που μπορεί να είναι θανατηφόρες, όπως οξεία γενικευμένη εξανθηματική φλυκταίνωση, σύνδρομο Stevens-Johnson και τοξική επιδερμική νεκρόλυση. Οι ασθενείς πρέπει να ενημερώνονται για τα σημεία της σοβαρής δερματικής αντίδρασης και η χρήση του φαρμάκου πρέπει να διακόπτεται στην πρώτη εμφάνιση δερματικού εξανθήματος ή οποιουδήποτε άλλου σημείου υπερευαισθησίας.</w:t>
      </w:r>
    </w:p>
    <w:p w14:paraId="6280D9A3" w14:textId="77777777" w:rsidR="00990395" w:rsidRPr="002141F4" w:rsidRDefault="00990395" w:rsidP="00FF6CD5">
      <w:pPr>
        <w:autoSpaceDE w:val="0"/>
        <w:autoSpaceDN w:val="0"/>
        <w:adjustRightInd w:val="0"/>
        <w:spacing w:line="360" w:lineRule="auto"/>
        <w:rPr>
          <w:szCs w:val="22"/>
          <w:u w:val="single"/>
        </w:rPr>
      </w:pPr>
      <w:r w:rsidRPr="002141F4">
        <w:rPr>
          <w:noProof/>
          <w:szCs w:val="22"/>
          <w:u w:val="single"/>
        </w:rPr>
        <w:t>Αναφορά πιθανολογούμενων ανεπιθύμητων ενεργειών</w:t>
      </w:r>
    </w:p>
    <w:p w14:paraId="042A33A9" w14:textId="77777777" w:rsidR="003B4BF5" w:rsidRPr="002141F4" w:rsidRDefault="00990395" w:rsidP="00FF6CD5">
      <w:pPr>
        <w:autoSpaceDE w:val="0"/>
        <w:autoSpaceDN w:val="0"/>
        <w:adjustRightInd w:val="0"/>
        <w:spacing w:line="360" w:lineRule="auto"/>
        <w:rPr>
          <w:noProof/>
          <w:szCs w:val="22"/>
        </w:rPr>
      </w:pPr>
      <w:r w:rsidRPr="002141F4">
        <w:rPr>
          <w:szCs w:val="22"/>
        </w:rPr>
        <w:t>Η αναφορά πιθανολογούμενων ανεπιθύμητων ενεργειών μετά από τη χορήγηση άδειας κυκλοφορίας του φαρμακευτικού προϊόντος είναι σημαντική</w:t>
      </w:r>
      <w:r w:rsidRPr="002141F4">
        <w:rPr>
          <w:noProof/>
          <w:szCs w:val="22"/>
        </w:rPr>
        <w:t>.</w:t>
      </w:r>
      <w:r w:rsidRPr="002141F4">
        <w:rPr>
          <w:szCs w:val="22"/>
        </w:rPr>
        <w:t xml:space="preserve"> Επιτρέπει τη συνεχή παρακολούθηση της σχέσης οφέλους-κινδύνου του φαρμακευτικού προϊόντος</w:t>
      </w:r>
      <w:r w:rsidRPr="002141F4">
        <w:rPr>
          <w:noProof/>
          <w:szCs w:val="22"/>
        </w:rPr>
        <w:t>.</w:t>
      </w:r>
      <w:r w:rsidRPr="002141F4">
        <w:rPr>
          <w:szCs w:val="22"/>
        </w:rPr>
        <w:t xml:space="preserve"> Ζητείται από τους επαγγελματίες </w:t>
      </w:r>
      <w:r w:rsidR="000D2837" w:rsidRPr="002141F4">
        <w:rPr>
          <w:szCs w:val="22"/>
        </w:rPr>
        <w:t xml:space="preserve">υγείας </w:t>
      </w:r>
      <w:r w:rsidRPr="002141F4">
        <w:rPr>
          <w:szCs w:val="22"/>
        </w:rPr>
        <w:t xml:space="preserve">να αναφέρουν οποιεσδήποτε πιθανολογούμενες ανεπιθύμητες ενέργειες </w:t>
      </w:r>
      <w:r w:rsidR="009154EB" w:rsidRPr="002141F4">
        <w:rPr>
          <w:noProof/>
          <w:szCs w:val="22"/>
        </w:rPr>
        <w:t>στον Εθνικό Οργανισμό Φαρμάκων</w:t>
      </w:r>
      <w:r w:rsidR="00E642A1" w:rsidRPr="002141F4">
        <w:rPr>
          <w:noProof/>
          <w:szCs w:val="22"/>
        </w:rPr>
        <w:t xml:space="preserve"> </w:t>
      </w:r>
      <w:r w:rsidR="00E642A1" w:rsidRPr="002141F4">
        <w:rPr>
          <w:szCs w:val="22"/>
        </w:rPr>
        <w:t>(</w:t>
      </w:r>
      <w:r w:rsidR="00E642A1" w:rsidRPr="002141F4">
        <w:rPr>
          <w:noProof/>
          <w:szCs w:val="22"/>
        </w:rPr>
        <w:t xml:space="preserve">Μεσογείων 284, GR-15562 Χολαργός, Αθήνα, Τηλ: + 30 </w:t>
      </w:r>
      <w:r w:rsidR="00E642A1" w:rsidRPr="002141F4">
        <w:rPr>
          <w:szCs w:val="22"/>
        </w:rPr>
        <w:t>21 32040380/337, Φαξ</w:t>
      </w:r>
      <w:r w:rsidR="00E642A1" w:rsidRPr="002141F4">
        <w:rPr>
          <w:noProof/>
          <w:szCs w:val="22"/>
        </w:rPr>
        <w:t xml:space="preserve">: + 30 </w:t>
      </w:r>
      <w:r w:rsidR="00E642A1" w:rsidRPr="002141F4">
        <w:rPr>
          <w:szCs w:val="22"/>
        </w:rPr>
        <w:t>2106549585, Ιστότοπος</w:t>
      </w:r>
      <w:r w:rsidR="00E642A1" w:rsidRPr="002141F4">
        <w:rPr>
          <w:noProof/>
          <w:szCs w:val="22"/>
        </w:rPr>
        <w:t xml:space="preserve">: </w:t>
      </w:r>
      <w:hyperlink r:id="rId11" w:history="1">
        <w:r w:rsidR="00E642A1" w:rsidRPr="002141F4">
          <w:rPr>
            <w:szCs w:val="22"/>
            <w:u w:val="single"/>
          </w:rPr>
          <w:t>http://www.eof.gr</w:t>
        </w:r>
      </w:hyperlink>
      <w:r w:rsidR="00E642A1" w:rsidRPr="002141F4">
        <w:rPr>
          <w:szCs w:val="22"/>
        </w:rPr>
        <w:t>).</w:t>
      </w:r>
      <w:r w:rsidR="00E642A1" w:rsidRPr="002141F4">
        <w:rPr>
          <w:noProof/>
          <w:szCs w:val="22"/>
        </w:rPr>
        <w:t xml:space="preserve"> </w:t>
      </w:r>
    </w:p>
    <w:p w14:paraId="620C8E05" w14:textId="77777777" w:rsidR="009154EB" w:rsidRPr="002141F4" w:rsidRDefault="009154EB" w:rsidP="00FF6CD5">
      <w:pPr>
        <w:spacing w:line="360" w:lineRule="auto"/>
        <w:rPr>
          <w:i/>
          <w:noProof/>
          <w:szCs w:val="22"/>
        </w:rPr>
      </w:pPr>
    </w:p>
    <w:p w14:paraId="16B1356E" w14:textId="77777777" w:rsidR="00496809" w:rsidRPr="002141F4" w:rsidRDefault="00496809" w:rsidP="00FF6CD5">
      <w:pPr>
        <w:spacing w:line="360" w:lineRule="auto"/>
        <w:rPr>
          <w:szCs w:val="22"/>
        </w:rPr>
      </w:pPr>
      <w:r w:rsidRPr="002141F4">
        <w:rPr>
          <w:b/>
          <w:szCs w:val="22"/>
        </w:rPr>
        <w:t>4.9</w:t>
      </w:r>
      <w:r w:rsidRPr="002141F4">
        <w:rPr>
          <w:b/>
          <w:szCs w:val="22"/>
        </w:rPr>
        <w:tab/>
        <w:t>Υπερδοσολογία</w:t>
      </w:r>
    </w:p>
    <w:p w14:paraId="275B67BF" w14:textId="77777777" w:rsidR="00496809" w:rsidRPr="002141F4" w:rsidRDefault="00496809" w:rsidP="00FF6CD5">
      <w:pPr>
        <w:spacing w:line="360" w:lineRule="auto"/>
        <w:rPr>
          <w:szCs w:val="22"/>
        </w:rPr>
      </w:pPr>
    </w:p>
    <w:p w14:paraId="78A7D95C" w14:textId="77777777" w:rsidR="005942B8" w:rsidRPr="002141F4" w:rsidRDefault="005942B8" w:rsidP="00FF6CD5">
      <w:pPr>
        <w:spacing w:line="360" w:lineRule="auto"/>
        <w:rPr>
          <w:szCs w:val="22"/>
        </w:rPr>
      </w:pPr>
      <w:r w:rsidRPr="002141F4">
        <w:rPr>
          <w:szCs w:val="22"/>
        </w:rPr>
        <w:t xml:space="preserve">Η υπερδοσολογία με παρακεταμόλη είναι πιθανό να προκαλέσει ηπατική ανεπάρκεια, κατάσταση που μπορεί να </w:t>
      </w:r>
      <w:r w:rsidR="00525884" w:rsidRPr="002141F4">
        <w:rPr>
          <w:szCs w:val="22"/>
        </w:rPr>
        <w:t>απαιτήσει μεταμόσχευση ήπατος ή να οδηγήσει στο</w:t>
      </w:r>
      <w:r w:rsidR="00E53DCF">
        <w:rPr>
          <w:szCs w:val="22"/>
        </w:rPr>
        <w:t>ν</w:t>
      </w:r>
      <w:r w:rsidR="00525884" w:rsidRPr="002141F4">
        <w:rPr>
          <w:szCs w:val="22"/>
        </w:rPr>
        <w:t xml:space="preserve"> </w:t>
      </w:r>
      <w:r w:rsidR="00771433" w:rsidRPr="002141F4">
        <w:rPr>
          <w:szCs w:val="22"/>
        </w:rPr>
        <w:t>θάνατο. Έχει παρατηρηθεί οξεία παγκρεατίτιδα, συνήθως με ηπατική δυσλειτουργία και ηπατοτοξικότητα.</w:t>
      </w:r>
    </w:p>
    <w:p w14:paraId="5A4A897E" w14:textId="77777777" w:rsidR="00CD335D" w:rsidRPr="002141F4" w:rsidRDefault="009154EB" w:rsidP="00FF6CD5">
      <w:pPr>
        <w:spacing w:line="360" w:lineRule="auto"/>
        <w:rPr>
          <w:szCs w:val="22"/>
          <w:lang w:eastAsia="zh-CN"/>
        </w:rPr>
      </w:pPr>
      <w:r w:rsidRPr="006142E0">
        <w:rPr>
          <w:szCs w:val="22"/>
        </w:rPr>
        <w:t xml:space="preserve">Η υπερδοσολογία μπορεί να είναι αποτέλεσμα ακούσιας ή εκούσιας λήψης μεγάλης ποσότητας παρακεταμόλης ή παρατεταμένης λήψης υψηλών δόσεων. Οι συνέπειες μπορεί να είναι πολύ σοβαρές. </w:t>
      </w:r>
    </w:p>
    <w:p w14:paraId="78899657" w14:textId="77777777" w:rsidR="00CD335D" w:rsidRPr="002141F4" w:rsidRDefault="00CD335D" w:rsidP="00FF6CD5">
      <w:pPr>
        <w:spacing w:line="360" w:lineRule="auto"/>
        <w:rPr>
          <w:szCs w:val="22"/>
          <w:lang w:eastAsia="zh-CN"/>
        </w:rPr>
      </w:pPr>
      <w:r w:rsidRPr="002141F4">
        <w:rPr>
          <w:szCs w:val="22"/>
          <w:lang w:eastAsia="zh-CN"/>
        </w:rPr>
        <w:t xml:space="preserve">Η υπερδοσολογία με πρόσληψη μεγάλης ποσότητας παρακεταμόλης </w:t>
      </w:r>
      <w:r w:rsidR="009E1976" w:rsidRPr="00E30D83">
        <w:rPr>
          <w:szCs w:val="22"/>
          <w:lang w:eastAsia="zh-CN"/>
        </w:rPr>
        <w:t>(</w:t>
      </w:r>
      <w:r w:rsidRPr="002141F4">
        <w:rPr>
          <w:szCs w:val="22"/>
          <w:lang w:eastAsia="zh-CN"/>
        </w:rPr>
        <w:t xml:space="preserve">7,5 </w:t>
      </w:r>
      <w:r w:rsidRPr="002141F4">
        <w:rPr>
          <w:szCs w:val="22"/>
          <w:lang w:val="en-GB" w:eastAsia="zh-CN"/>
        </w:rPr>
        <w:t>g</w:t>
      </w:r>
      <w:r w:rsidRPr="002141F4">
        <w:rPr>
          <w:szCs w:val="22"/>
          <w:lang w:eastAsia="zh-CN"/>
        </w:rPr>
        <w:t xml:space="preserve"> ή περισσότερο σε ενήλικες ή 140 </w:t>
      </w:r>
      <w:r w:rsidRPr="002141F4">
        <w:rPr>
          <w:szCs w:val="22"/>
          <w:lang w:val="en-GB" w:eastAsia="zh-CN"/>
        </w:rPr>
        <w:t>mg</w:t>
      </w:r>
      <w:r w:rsidRPr="002141F4">
        <w:rPr>
          <w:szCs w:val="22"/>
          <w:lang w:eastAsia="zh-CN"/>
        </w:rPr>
        <w:t>/</w:t>
      </w:r>
      <w:r w:rsidRPr="002141F4">
        <w:rPr>
          <w:szCs w:val="22"/>
          <w:lang w:val="en-GB" w:eastAsia="zh-CN"/>
        </w:rPr>
        <w:t>kg</w:t>
      </w:r>
      <w:r w:rsidRPr="002141F4">
        <w:rPr>
          <w:szCs w:val="22"/>
          <w:lang w:eastAsia="zh-CN"/>
        </w:rPr>
        <w:t xml:space="preserve"> σωματικού βάρους σε παιδιά</w:t>
      </w:r>
      <w:r w:rsidR="009E1976" w:rsidRPr="00E30D83">
        <w:rPr>
          <w:szCs w:val="22"/>
          <w:lang w:eastAsia="zh-CN"/>
        </w:rPr>
        <w:t>)</w:t>
      </w:r>
      <w:r w:rsidRPr="002141F4">
        <w:rPr>
          <w:szCs w:val="22"/>
          <w:lang w:eastAsia="zh-CN"/>
        </w:rPr>
        <w:t xml:space="preserve">, προκαλεί κυτταρολυτική ηπατίτιδα, πιθανή να επάγει ολική και μη αναστρέψιμη νέκρωση, με αποτέλεσμα ηπατοκυτταρική ανεπάρκεια, μεταβολική </w:t>
      </w:r>
      <w:r w:rsidRPr="002141F4">
        <w:rPr>
          <w:szCs w:val="22"/>
          <w:lang w:eastAsia="zh-CN"/>
        </w:rPr>
        <w:lastRenderedPageBreak/>
        <w:t>οξέωση και εγκεφαλοπάθεια που μπορεί να οδηγήσει σε κώμα και θάνατο.</w:t>
      </w:r>
    </w:p>
    <w:p w14:paraId="51597334" w14:textId="77777777" w:rsidR="009154EB" w:rsidRPr="002141F4" w:rsidRDefault="009154EB" w:rsidP="00FF6CD5">
      <w:pPr>
        <w:pStyle w:val="Default"/>
        <w:spacing w:line="360" w:lineRule="auto"/>
        <w:rPr>
          <w:noProof/>
          <w:color w:val="auto"/>
          <w:sz w:val="22"/>
          <w:szCs w:val="22"/>
          <w:lang w:eastAsia="en-US"/>
        </w:rPr>
      </w:pPr>
    </w:p>
    <w:p w14:paraId="6FA5656F" w14:textId="77777777" w:rsidR="009154EB" w:rsidRPr="002141F4" w:rsidRDefault="009154EB" w:rsidP="00FF6CD5">
      <w:pPr>
        <w:spacing w:line="360" w:lineRule="auto"/>
        <w:rPr>
          <w:noProof/>
          <w:szCs w:val="22"/>
        </w:rPr>
      </w:pPr>
      <w:r w:rsidRPr="002141F4">
        <w:rPr>
          <w:noProof/>
          <w:szCs w:val="22"/>
        </w:rPr>
        <w:t xml:space="preserve">Τα συμπτώματα της υπερδοσολογίας εμφανίζονται εντός 24 ωρών και εξελίσσονται σε βαρύτητα. Περιλαμβάνουν ναυτία, εμέτους, υπεριδρωσία, λήθαργο, κοιλιακό άλγος. </w:t>
      </w:r>
      <w:bookmarkStart w:id="1" w:name="_Hlk72752276"/>
      <w:r w:rsidR="00525884" w:rsidRPr="002141F4">
        <w:rPr>
          <w:szCs w:val="22"/>
        </w:rPr>
        <w:t>Από την εμπειρία σχετικά με την υπερδοσολογία με παρακεταμόλη, τα κλινικά συμπτώματα ηπατικής βλάβης μπορεί να εμφανισθούν συνήθως 24 έως 48 ώρες μετά τη λήψη, ενώ φθάνουν στο μέγιστο της βαρύτητάς τους στις 4 έως 6 ημέρες μετά τη λήψη</w:t>
      </w:r>
      <w:bookmarkEnd w:id="1"/>
      <w:r w:rsidR="00525884" w:rsidRPr="002141F4">
        <w:rPr>
          <w:szCs w:val="22"/>
        </w:rPr>
        <w:t xml:space="preserve">. Μπορεί να έχει ως </w:t>
      </w:r>
      <w:r w:rsidRPr="002141F4">
        <w:rPr>
          <w:noProof/>
          <w:szCs w:val="22"/>
        </w:rPr>
        <w:t>αποτέλεσμα ηπατική ανεπάρκεια με εγκεφαλοπάθεια, κώμα και θάνατο. Μπορεί επίσης να αναπτυχθούν οξέωση, οίδημα εγκεφάλου, αιμορραγία, υπογλυκαιμία, υπόταση, λοίμωξη και νεφρική ανεπάρκεια.</w:t>
      </w:r>
    </w:p>
    <w:p w14:paraId="37314178" w14:textId="77777777" w:rsidR="00B35B9D" w:rsidRPr="002141F4" w:rsidRDefault="009154EB" w:rsidP="00FF6CD5">
      <w:pPr>
        <w:tabs>
          <w:tab w:val="left" w:pos="3136"/>
        </w:tabs>
        <w:spacing w:line="360" w:lineRule="auto"/>
        <w:rPr>
          <w:szCs w:val="22"/>
          <w:lang w:eastAsia="zh-CN"/>
        </w:rPr>
      </w:pPr>
      <w:r w:rsidRPr="002141F4">
        <w:rPr>
          <w:noProof/>
          <w:szCs w:val="22"/>
        </w:rPr>
        <w:t>Εργαστηριακώς αναπτύσσεται υπερτρανσαμινασαιμία, υπερχολερυθριναιμία</w:t>
      </w:r>
      <w:r w:rsidR="00CD335D" w:rsidRPr="002141F4">
        <w:rPr>
          <w:noProof/>
          <w:szCs w:val="22"/>
        </w:rPr>
        <w:t xml:space="preserve">, </w:t>
      </w:r>
      <w:r w:rsidR="00CD335D" w:rsidRPr="002141F4">
        <w:rPr>
          <w:szCs w:val="22"/>
          <w:lang w:eastAsia="zh-CN"/>
        </w:rPr>
        <w:t>γαλακτική αφυδρογονάση</w:t>
      </w:r>
      <w:r w:rsidRPr="002141F4">
        <w:rPr>
          <w:noProof/>
          <w:szCs w:val="22"/>
        </w:rPr>
        <w:t xml:space="preserve"> και παράταση του χρόνου προθρομβίνης</w:t>
      </w:r>
      <w:r w:rsidR="00B35B9D" w:rsidRPr="002141F4">
        <w:rPr>
          <w:szCs w:val="22"/>
          <w:lang w:eastAsia="zh-CN"/>
        </w:rPr>
        <w:t xml:space="preserve"> με μειωμένα επίπεδα που μπορεί να εμφανισθούν 12 έως 48 ώρες ακολούθως της πρόσληψης,</w:t>
      </w:r>
      <w:r w:rsidRPr="002141F4">
        <w:rPr>
          <w:noProof/>
          <w:szCs w:val="22"/>
        </w:rPr>
        <w:t xml:space="preserve"> που αποτελεί αξιόπιστο δείκτη της εξέλιξης της ηπατικής λειτουργίας και πρέπει να παρακολουθείται τακτικά.</w:t>
      </w:r>
      <w:r w:rsidR="00B35B9D" w:rsidRPr="002141F4">
        <w:rPr>
          <w:szCs w:val="22"/>
          <w:lang w:eastAsia="el-GR"/>
        </w:rPr>
        <w:t xml:space="preserve"> </w:t>
      </w:r>
      <w:r w:rsidR="00B35B9D" w:rsidRPr="002141F4">
        <w:rPr>
          <w:szCs w:val="22"/>
          <w:lang w:eastAsia="zh-CN"/>
        </w:rPr>
        <w:t>Ηπατικές δοκιμασίες πρέπει να διεξάγονται κατά την έναρξη της θεραπείας και να επαναλαμβάνονται κάθε 24 ώρες. Στις περισσότερες περιπτώσεις, οι ηπατικές τρανσαμινάσες επιστρέφουν στα φυσιολογικά επίπεδα σε 1 έως 2 εβδομάδες με πλήρη αποκατάσταση της λειτουργίας του ήπατος. Εντούτοις, σε πολύ σοβαρές περιπτώσεις μπορεί να είναι αναγκαία η μεταμόσχευση ήπατος.</w:t>
      </w:r>
    </w:p>
    <w:p w14:paraId="77A97307" w14:textId="77777777" w:rsidR="00B35B9D" w:rsidRPr="002141F4" w:rsidRDefault="00B35B9D" w:rsidP="00FF6CD5">
      <w:pPr>
        <w:widowControl/>
        <w:spacing w:line="360" w:lineRule="auto"/>
        <w:rPr>
          <w:szCs w:val="22"/>
          <w:lang w:eastAsia="el-GR"/>
        </w:rPr>
      </w:pPr>
    </w:p>
    <w:p w14:paraId="3AAEDCF6" w14:textId="77777777" w:rsidR="00525884" w:rsidRPr="002141F4" w:rsidRDefault="009154EB" w:rsidP="00FF6CD5">
      <w:pPr>
        <w:spacing w:line="360" w:lineRule="auto"/>
        <w:rPr>
          <w:szCs w:val="22"/>
        </w:rPr>
      </w:pPr>
      <w:r w:rsidRPr="002141F4">
        <w:rPr>
          <w:noProof/>
          <w:szCs w:val="22"/>
        </w:rPr>
        <w:t xml:space="preserve">Μπορεί να εμφανισθεί οξεία νεφρική ανεπάρκεια από οξεία σωληναριακή νέκρωση ακόμη και χωρίς την ύπαρξη ηπατικής βλάβης. Επίσης μπορεί να εμφανισθούν βλάβες του μυοκαρδίου και </w:t>
      </w:r>
      <w:r w:rsidR="00525884" w:rsidRPr="002141F4">
        <w:rPr>
          <w:szCs w:val="22"/>
        </w:rPr>
        <w:t>παγκρεατίτιδα.</w:t>
      </w:r>
    </w:p>
    <w:p w14:paraId="615FA84D" w14:textId="77777777" w:rsidR="00B35B9D" w:rsidRPr="002141F4" w:rsidRDefault="00B35B9D" w:rsidP="00FF6CD5">
      <w:pPr>
        <w:widowControl/>
        <w:spacing w:line="360" w:lineRule="auto"/>
        <w:rPr>
          <w:szCs w:val="22"/>
          <w:lang w:eastAsia="el-GR"/>
        </w:rPr>
      </w:pPr>
      <w:r w:rsidRPr="002141F4">
        <w:rPr>
          <w:szCs w:val="22"/>
          <w:lang w:eastAsia="el-GR"/>
        </w:rPr>
        <w:t>Υπάρχει κίνδυνος δηλητηρίασης, ιδιαίτερα σε ασθενείς με ηπατική νόσο, σε περιπτώσεις χρόνιου αλκοολισμού, σε ασθενείς με χρόνια πλημμελή θρέψη και σε ασθενείς που λαμβάνουν επαγωγείς ενζύμων. Η υπερδοσολογία μπορεί να είναι θανατηφόρα, ιδιαίτερα σε αυτές τις περιπτώσεις.</w:t>
      </w:r>
    </w:p>
    <w:p w14:paraId="2DC87122" w14:textId="77777777" w:rsidR="009154EB" w:rsidRPr="002141F4" w:rsidRDefault="009154EB" w:rsidP="00FF6CD5">
      <w:pPr>
        <w:spacing w:line="360" w:lineRule="auto"/>
        <w:rPr>
          <w:noProof/>
          <w:szCs w:val="22"/>
        </w:rPr>
      </w:pPr>
    </w:p>
    <w:p w14:paraId="7DA8F30C" w14:textId="77777777" w:rsidR="009154EB" w:rsidRPr="002141F4" w:rsidRDefault="009154EB" w:rsidP="00FF6CD5">
      <w:pPr>
        <w:spacing w:line="360" w:lineRule="auto"/>
        <w:rPr>
          <w:noProof/>
          <w:szCs w:val="22"/>
        </w:rPr>
      </w:pPr>
      <w:r w:rsidRPr="002141F4">
        <w:rPr>
          <w:noProof/>
          <w:szCs w:val="22"/>
        </w:rPr>
        <w:t>Η τοξικότητα της παρακεταμόλης οφείλεται στην παραγωγή ενός εκ των μεταβολιτών της, της Ν-ακετυλ-</w:t>
      </w:r>
      <w:r w:rsidR="00E13E8A" w:rsidRPr="002141F4">
        <w:rPr>
          <w:noProof/>
          <w:szCs w:val="22"/>
          <w:lang w:val="en-US"/>
        </w:rPr>
        <w:t>p</w:t>
      </w:r>
      <w:r w:rsidRPr="002141F4">
        <w:rPr>
          <w:noProof/>
          <w:szCs w:val="22"/>
        </w:rPr>
        <w:t>-βενζοκινον</w:t>
      </w:r>
      <w:r w:rsidR="000B30D5" w:rsidRPr="002141F4">
        <w:rPr>
          <w:noProof/>
          <w:szCs w:val="22"/>
        </w:rPr>
        <w:t>ι</w:t>
      </w:r>
      <w:r w:rsidRPr="002141F4">
        <w:rPr>
          <w:noProof/>
          <w:szCs w:val="22"/>
        </w:rPr>
        <w:t>μίνης (</w:t>
      </w:r>
      <w:r w:rsidR="00AA54AB" w:rsidRPr="002141F4">
        <w:rPr>
          <w:noProof/>
          <w:szCs w:val="22"/>
        </w:rPr>
        <w:t>NA</w:t>
      </w:r>
      <w:r w:rsidR="00AA54AB" w:rsidRPr="002141F4">
        <w:rPr>
          <w:noProof/>
          <w:szCs w:val="22"/>
          <w:lang w:val="en-US"/>
        </w:rPr>
        <w:t>P</w:t>
      </w:r>
      <w:r w:rsidR="00AA54AB" w:rsidRPr="002141F4">
        <w:rPr>
          <w:noProof/>
          <w:szCs w:val="22"/>
        </w:rPr>
        <w:t>QI</w:t>
      </w:r>
      <w:r w:rsidRPr="002141F4">
        <w:rPr>
          <w:noProof/>
          <w:szCs w:val="22"/>
        </w:rPr>
        <w:t xml:space="preserve">), η οποία αδρανοποιείται με σύνδεση με γλουταθειόνη και αποβάλλεται συζευγμένη με μερκαπτοπουρίνη και κυστεΐνη. Στις περιπτώσεις υπερδοσολογίας τα αποθέματα της γλουταθειόνης εξαντλούνται και η ελεύθερη </w:t>
      </w:r>
      <w:r w:rsidR="00AA54AB" w:rsidRPr="002141F4">
        <w:rPr>
          <w:noProof/>
          <w:szCs w:val="22"/>
        </w:rPr>
        <w:t>NA</w:t>
      </w:r>
      <w:r w:rsidR="00AA54AB" w:rsidRPr="002141F4">
        <w:rPr>
          <w:noProof/>
          <w:szCs w:val="22"/>
          <w:lang w:val="en-US"/>
        </w:rPr>
        <w:t>P</w:t>
      </w:r>
      <w:r w:rsidR="00AA54AB" w:rsidRPr="002141F4">
        <w:rPr>
          <w:noProof/>
          <w:szCs w:val="22"/>
        </w:rPr>
        <w:t xml:space="preserve">QI </w:t>
      </w:r>
      <w:r w:rsidRPr="002141F4">
        <w:rPr>
          <w:noProof/>
          <w:szCs w:val="22"/>
        </w:rPr>
        <w:t>ενώνεται με θειοϋδρυλικές ομάδες στα ηπατοκύτταρα, τα οποία έτσι καταστρέφονται.</w:t>
      </w:r>
    </w:p>
    <w:p w14:paraId="5581216C" w14:textId="4E7DCCC9" w:rsidR="00544125" w:rsidRPr="002141F4" w:rsidRDefault="009154EB" w:rsidP="00FF6CD5">
      <w:pPr>
        <w:spacing w:line="360" w:lineRule="auto"/>
        <w:rPr>
          <w:noProof/>
          <w:szCs w:val="22"/>
        </w:rPr>
      </w:pPr>
      <w:r w:rsidRPr="002141F4">
        <w:rPr>
          <w:noProof/>
          <w:szCs w:val="22"/>
        </w:rPr>
        <w:t>Ουσίες όπως η ακετυλοκυστεΐνη και η μεθειονίνη, οι οποίες επανορθώνουν τα αποθέματα της γλουταθειόνης</w:t>
      </w:r>
      <w:r w:rsidR="007A3A38">
        <w:rPr>
          <w:noProof/>
          <w:szCs w:val="22"/>
        </w:rPr>
        <w:t>,</w:t>
      </w:r>
      <w:r w:rsidRPr="002141F4">
        <w:rPr>
          <w:noProof/>
          <w:szCs w:val="22"/>
        </w:rPr>
        <w:t xml:space="preserve"> χρησιμοποιούνται ως αντίδοτα στη δηλητηρίαση από παρακεταμόλη.</w:t>
      </w:r>
      <w:r w:rsidR="00B35B9D" w:rsidRPr="002141F4">
        <w:rPr>
          <w:szCs w:val="22"/>
          <w:lang w:eastAsia="zh-CN"/>
        </w:rPr>
        <w:t xml:space="preserve"> Η Ν-ακετυλοκυστεΐνη (</w:t>
      </w:r>
      <w:r w:rsidR="00B35B9D" w:rsidRPr="002141F4">
        <w:rPr>
          <w:szCs w:val="22"/>
          <w:lang w:val="en-GB" w:eastAsia="zh-CN"/>
        </w:rPr>
        <w:t>NAC</w:t>
      </w:r>
      <w:r w:rsidR="00B35B9D" w:rsidRPr="002141F4">
        <w:rPr>
          <w:szCs w:val="22"/>
          <w:lang w:eastAsia="zh-CN"/>
        </w:rPr>
        <w:t>) μπορεί να δώσει κάποιου βαθμού προστασία ακόμα και μετά από 16 ώρες.</w:t>
      </w:r>
    </w:p>
    <w:p w14:paraId="55EC150F" w14:textId="77777777" w:rsidR="00B35B9D" w:rsidRPr="002141F4" w:rsidRDefault="003B3901" w:rsidP="00FF6CD5">
      <w:pPr>
        <w:spacing w:line="360" w:lineRule="auto"/>
        <w:rPr>
          <w:noProof/>
          <w:szCs w:val="22"/>
        </w:rPr>
      </w:pPr>
      <w:r w:rsidRPr="002141F4">
        <w:rPr>
          <w:noProof/>
          <w:szCs w:val="22"/>
        </w:rPr>
        <w:t>Η αντιμετώπιση της υπερδοσολογίας πρέπει να γίνεται αμέσως και στο νοσοκομείο</w:t>
      </w:r>
      <w:r w:rsidR="005A664E" w:rsidRPr="002141F4">
        <w:rPr>
          <w:noProof/>
          <w:szCs w:val="22"/>
        </w:rPr>
        <w:t>, ακόμα και αν απουσιάζουν τα συμπτώματα</w:t>
      </w:r>
      <w:r w:rsidR="000751FF" w:rsidRPr="002141F4">
        <w:rPr>
          <w:noProof/>
          <w:szCs w:val="22"/>
        </w:rPr>
        <w:t>, διότι υπάρχει ο κίνδυνος καθυστερημένης ηπατικής βλάβης</w:t>
      </w:r>
      <w:r w:rsidRPr="002141F4">
        <w:rPr>
          <w:noProof/>
          <w:szCs w:val="22"/>
        </w:rPr>
        <w:t xml:space="preserve">. </w:t>
      </w:r>
    </w:p>
    <w:p w14:paraId="5CF0BEB5" w14:textId="77777777" w:rsidR="003B3901" w:rsidRPr="002141F4" w:rsidRDefault="003B3901" w:rsidP="00FF6CD5">
      <w:pPr>
        <w:spacing w:line="360" w:lineRule="auto"/>
        <w:rPr>
          <w:noProof/>
          <w:szCs w:val="22"/>
        </w:rPr>
      </w:pPr>
      <w:r w:rsidRPr="002141F4">
        <w:rPr>
          <w:noProof/>
          <w:szCs w:val="22"/>
        </w:rPr>
        <w:t>Η γαστρική πλύση όταν εκτελείται εντός 2 ωρών από τη λήψ</w:t>
      </w:r>
      <w:r w:rsidR="00D475C9" w:rsidRPr="002141F4">
        <w:rPr>
          <w:noProof/>
          <w:szCs w:val="22"/>
        </w:rPr>
        <w:t>η</w:t>
      </w:r>
      <w:r w:rsidRPr="002141F4">
        <w:rPr>
          <w:noProof/>
          <w:szCs w:val="22"/>
        </w:rPr>
        <w:t xml:space="preserve"> απομακρύνει </w:t>
      </w:r>
      <w:r w:rsidR="00D475C9" w:rsidRPr="002141F4">
        <w:rPr>
          <w:noProof/>
          <w:szCs w:val="22"/>
        </w:rPr>
        <w:t>από</w:t>
      </w:r>
      <w:r w:rsidRPr="002141F4">
        <w:rPr>
          <w:noProof/>
          <w:szCs w:val="22"/>
        </w:rPr>
        <w:t xml:space="preserve"> το</w:t>
      </w:r>
      <w:r w:rsidR="007A3A38">
        <w:rPr>
          <w:noProof/>
          <w:szCs w:val="22"/>
        </w:rPr>
        <w:t>ν</w:t>
      </w:r>
      <w:r w:rsidRPr="002141F4">
        <w:rPr>
          <w:noProof/>
          <w:szCs w:val="22"/>
        </w:rPr>
        <w:t xml:space="preserve"> στ</w:t>
      </w:r>
      <w:r w:rsidR="00D475C9" w:rsidRPr="002141F4">
        <w:rPr>
          <w:noProof/>
          <w:szCs w:val="22"/>
        </w:rPr>
        <w:t>ό</w:t>
      </w:r>
      <w:r w:rsidRPr="002141F4">
        <w:rPr>
          <w:noProof/>
          <w:szCs w:val="22"/>
        </w:rPr>
        <w:t>μ</w:t>
      </w:r>
      <w:r w:rsidR="00D475C9" w:rsidRPr="002141F4">
        <w:rPr>
          <w:noProof/>
          <w:szCs w:val="22"/>
        </w:rPr>
        <w:t>α</w:t>
      </w:r>
      <w:r w:rsidRPr="002141F4">
        <w:rPr>
          <w:noProof/>
          <w:szCs w:val="22"/>
        </w:rPr>
        <w:t xml:space="preserve">χο τα υπολείμματα του φαρμάκου. Η χορήγηση ενεργού άνθρακα εμποδίζει την απορρόφηση της παρακεταμόλης από το έντερο. Η εφαρμογή γενικών μέτρων υποστήριξης είναι απαραίτητη. Η </w:t>
      </w:r>
      <w:r w:rsidRPr="002141F4">
        <w:rPr>
          <w:noProof/>
          <w:szCs w:val="22"/>
        </w:rPr>
        <w:lastRenderedPageBreak/>
        <w:t>χορήγηση του αντιδότου αρχίζει αμέσως, εφόσον η ληφθείσα δόση είναι πάνω από 125</w:t>
      </w:r>
      <w:r w:rsidR="00B8450E" w:rsidRPr="002141F4">
        <w:rPr>
          <w:noProof/>
          <w:szCs w:val="22"/>
        </w:rPr>
        <w:t xml:space="preserve"> </w:t>
      </w:r>
      <w:r w:rsidRPr="002141F4">
        <w:rPr>
          <w:noProof/>
          <w:szCs w:val="22"/>
        </w:rPr>
        <w:t xml:space="preserve">mg/kg </w:t>
      </w:r>
      <w:r w:rsidRPr="007A3A38">
        <w:rPr>
          <w:noProof/>
          <w:szCs w:val="22"/>
        </w:rPr>
        <w:t xml:space="preserve">ΒΣ </w:t>
      </w:r>
      <w:r w:rsidRPr="002141F4">
        <w:rPr>
          <w:noProof/>
          <w:szCs w:val="22"/>
        </w:rPr>
        <w:t>για τους ενήλικες και πάνω από 200</w:t>
      </w:r>
      <w:r w:rsidR="00B8450E" w:rsidRPr="002141F4">
        <w:rPr>
          <w:noProof/>
          <w:szCs w:val="22"/>
        </w:rPr>
        <w:t xml:space="preserve"> </w:t>
      </w:r>
      <w:r w:rsidRPr="002141F4">
        <w:rPr>
          <w:noProof/>
          <w:szCs w:val="22"/>
        </w:rPr>
        <w:t xml:space="preserve">mg/kg </w:t>
      </w:r>
      <w:r w:rsidRPr="007A3A38">
        <w:rPr>
          <w:noProof/>
          <w:szCs w:val="22"/>
        </w:rPr>
        <w:t xml:space="preserve">ΒΣ </w:t>
      </w:r>
      <w:r w:rsidRPr="002141F4">
        <w:rPr>
          <w:noProof/>
          <w:szCs w:val="22"/>
        </w:rPr>
        <w:t>για τα παιδιά και συνεχίζεται ή όχι ανάλογα με τα αποτελέσματα των μετρήσεων</w:t>
      </w:r>
      <w:r w:rsidRPr="002141F4">
        <w:rPr>
          <w:szCs w:val="22"/>
        </w:rPr>
        <w:t xml:space="preserve"> </w:t>
      </w:r>
      <w:r w:rsidRPr="002141F4">
        <w:rPr>
          <w:noProof/>
          <w:szCs w:val="22"/>
        </w:rPr>
        <w:t>των επιπέδων της παρακεταμόλης στο πλάσμα.</w:t>
      </w:r>
    </w:p>
    <w:p w14:paraId="1AD112ED" w14:textId="77777777" w:rsidR="00B35B9D" w:rsidRPr="002141F4" w:rsidRDefault="00B35B9D" w:rsidP="00FF6CD5">
      <w:pPr>
        <w:widowControl/>
        <w:spacing w:line="360" w:lineRule="auto"/>
        <w:rPr>
          <w:szCs w:val="22"/>
          <w:lang w:eastAsia="el-GR"/>
        </w:rPr>
      </w:pPr>
      <w:r w:rsidRPr="002141F4">
        <w:rPr>
          <w:szCs w:val="22"/>
          <w:lang w:eastAsia="el-GR"/>
        </w:rPr>
        <w:t>Πριν την έναρξη της θεραπείας, πάρτε δείγμα αίματος για τον προσδιορισμό της παρακεταμόλης στο πλάσμα, όσο το δυνατόν συντομότερα.</w:t>
      </w:r>
    </w:p>
    <w:p w14:paraId="61CFDA86" w14:textId="77777777" w:rsidR="00B35B9D" w:rsidRPr="002141F4" w:rsidRDefault="00B35B9D" w:rsidP="00FF6CD5">
      <w:pPr>
        <w:spacing w:line="360" w:lineRule="auto"/>
        <w:rPr>
          <w:noProof/>
          <w:szCs w:val="22"/>
        </w:rPr>
      </w:pPr>
    </w:p>
    <w:p w14:paraId="7DFF2B01" w14:textId="305B6D43" w:rsidR="009154EB" w:rsidRPr="002141F4" w:rsidRDefault="003B3901" w:rsidP="00FF6CD5">
      <w:pPr>
        <w:spacing w:line="360" w:lineRule="auto"/>
        <w:rPr>
          <w:noProof/>
          <w:szCs w:val="22"/>
        </w:rPr>
      </w:pPr>
      <w:r w:rsidRPr="002141F4">
        <w:rPr>
          <w:noProof/>
          <w:szCs w:val="22"/>
        </w:rPr>
        <w:t xml:space="preserve">Η μέτρηση των επιπέδων πρέπει να γίνεται 4 ώρες μετά τη λήψη και μέχρι </w:t>
      </w:r>
      <w:r w:rsidR="000B30D5" w:rsidRPr="002141F4">
        <w:rPr>
          <w:noProof/>
          <w:szCs w:val="22"/>
        </w:rPr>
        <w:t xml:space="preserve">16 </w:t>
      </w:r>
      <w:r w:rsidRPr="002141F4">
        <w:rPr>
          <w:noProof/>
          <w:szCs w:val="22"/>
        </w:rPr>
        <w:t>ώρες απ</w:t>
      </w:r>
      <w:r w:rsidR="00D475C9" w:rsidRPr="002141F4">
        <w:rPr>
          <w:noProof/>
          <w:szCs w:val="22"/>
        </w:rPr>
        <w:t>’</w:t>
      </w:r>
      <w:r w:rsidRPr="002141F4">
        <w:rPr>
          <w:noProof/>
          <w:szCs w:val="22"/>
        </w:rPr>
        <w:t xml:space="preserve"> αυτή. Οι τιμές των επιπέδων παρακεταμόλης πλάσματος του ασθενούς συγκρίνονται με ένα προτυποποιημένο νομόγραμμα των επιπέδων προς τον χρόνο από τη λήψ</w:t>
      </w:r>
      <w:r w:rsidR="00D475C9" w:rsidRPr="002141F4">
        <w:rPr>
          <w:noProof/>
          <w:szCs w:val="22"/>
        </w:rPr>
        <w:t>η</w:t>
      </w:r>
      <w:r w:rsidRPr="002141F4">
        <w:rPr>
          <w:noProof/>
          <w:szCs w:val="22"/>
        </w:rPr>
        <w:t xml:space="preserve"> (βλ</w:t>
      </w:r>
      <w:r w:rsidR="007A3A38">
        <w:rPr>
          <w:noProof/>
          <w:szCs w:val="22"/>
        </w:rPr>
        <w:t>.</w:t>
      </w:r>
      <w:r w:rsidRPr="002141F4">
        <w:rPr>
          <w:noProof/>
          <w:szCs w:val="22"/>
        </w:rPr>
        <w:t xml:space="preserve"> </w:t>
      </w:r>
      <w:r w:rsidR="00525884" w:rsidRPr="002141F4">
        <w:rPr>
          <w:noProof/>
          <w:szCs w:val="22"/>
        </w:rPr>
        <w:t>Σ</w:t>
      </w:r>
      <w:r w:rsidRPr="002141F4">
        <w:rPr>
          <w:noProof/>
          <w:szCs w:val="22"/>
        </w:rPr>
        <w:t>χήμα</w:t>
      </w:r>
      <w:r w:rsidR="00525884" w:rsidRPr="002141F4">
        <w:rPr>
          <w:noProof/>
          <w:szCs w:val="22"/>
        </w:rPr>
        <w:t xml:space="preserve"> 1</w:t>
      </w:r>
      <w:r w:rsidRPr="002141F4">
        <w:rPr>
          <w:noProof/>
          <w:szCs w:val="22"/>
        </w:rPr>
        <w:t>). Η χορήγηση του αντιδότου χρειάζεται εάν τα επίπεδα του ασθενούς είναι πάνω από την γραμμή κινδύνου. Γενικώς θεωρείται ότι η εφάπαξ λήψη άνω των 10</w:t>
      </w:r>
      <w:r w:rsidR="00B8450E" w:rsidRPr="002141F4">
        <w:rPr>
          <w:noProof/>
          <w:szCs w:val="22"/>
        </w:rPr>
        <w:t xml:space="preserve"> </w:t>
      </w:r>
      <w:r w:rsidRPr="002141F4">
        <w:rPr>
          <w:noProof/>
          <w:szCs w:val="22"/>
        </w:rPr>
        <w:t>g παρακεταμόλης μπορεί να προκαλέσει κλινικώς έκδηλη ηπατοκυτταρική βλάβη. Βαριά θανατηφόρα βλάβη συνήθως επέρχεται με τη λήψη άνω των 25</w:t>
      </w:r>
      <w:r w:rsidR="00B8450E" w:rsidRPr="002141F4">
        <w:rPr>
          <w:noProof/>
          <w:szCs w:val="22"/>
        </w:rPr>
        <w:t xml:space="preserve"> </w:t>
      </w:r>
      <w:r w:rsidRPr="002141F4">
        <w:rPr>
          <w:noProof/>
          <w:szCs w:val="22"/>
        </w:rPr>
        <w:t>g. Οι συγκεντρώσεις της παρακεταμόλης στο πλάσμα σχετίζονται με τη σοβαρότητα της ηπατικής βλάβης. Επίπεδα άνω των 300</w:t>
      </w:r>
      <w:r w:rsidR="00B8450E" w:rsidRPr="002141F4">
        <w:rPr>
          <w:noProof/>
          <w:szCs w:val="22"/>
        </w:rPr>
        <w:t xml:space="preserve"> </w:t>
      </w:r>
      <w:r w:rsidRPr="002141F4">
        <w:rPr>
          <w:noProof/>
          <w:szCs w:val="22"/>
        </w:rPr>
        <w:t>μg/</w:t>
      </w:r>
      <w:r w:rsidR="007A3A38">
        <w:rPr>
          <w:noProof/>
          <w:szCs w:val="22"/>
          <w:lang w:val="en-US"/>
        </w:rPr>
        <w:t>mL</w:t>
      </w:r>
      <w:r w:rsidRPr="002141F4">
        <w:rPr>
          <w:noProof/>
          <w:szCs w:val="22"/>
        </w:rPr>
        <w:t xml:space="preserve"> 4 ώρες μετά τη λήψη είναι ενδεικτικά ανάπτυξης σοβαρής βλάβης. Επίπεδα κάτω των 150</w:t>
      </w:r>
      <w:r w:rsidR="00B8450E" w:rsidRPr="002141F4">
        <w:rPr>
          <w:noProof/>
          <w:szCs w:val="22"/>
        </w:rPr>
        <w:t xml:space="preserve"> </w:t>
      </w:r>
      <w:r w:rsidRPr="002141F4">
        <w:rPr>
          <w:noProof/>
          <w:szCs w:val="22"/>
        </w:rPr>
        <w:t>μg/</w:t>
      </w:r>
      <w:r w:rsidR="007A3A38">
        <w:rPr>
          <w:noProof/>
          <w:szCs w:val="22"/>
          <w:lang w:val="en-US"/>
        </w:rPr>
        <w:t>mL</w:t>
      </w:r>
      <w:r w:rsidRPr="002141F4">
        <w:rPr>
          <w:noProof/>
          <w:szCs w:val="22"/>
        </w:rPr>
        <w:t xml:space="preserve"> σημαίνουν ότι η ανάπτυξη ηπατοκυτταρικής βλάβης είναι απίθανη.</w:t>
      </w:r>
    </w:p>
    <w:p w14:paraId="4121CDE2" w14:textId="77777777" w:rsidR="003B3901" w:rsidRPr="002141F4" w:rsidRDefault="003B3901" w:rsidP="00FF6CD5">
      <w:pPr>
        <w:spacing w:line="360" w:lineRule="auto"/>
        <w:rPr>
          <w:noProof/>
          <w:szCs w:val="22"/>
        </w:rPr>
      </w:pPr>
      <w:r w:rsidRPr="002141F4">
        <w:rPr>
          <w:noProof/>
          <w:szCs w:val="22"/>
        </w:rPr>
        <w:t>Η ακετυλοκυστεΐνη χορηγείται από του στόματος ή ενδοφλεβίως. Παρά το ότι είναι πιο αποτελεσματική όταν η χορήγησή της αρχίζει εντός 8 ωρών από τη λήψ</w:t>
      </w:r>
      <w:r w:rsidR="00D475C9" w:rsidRPr="002141F4">
        <w:rPr>
          <w:noProof/>
          <w:szCs w:val="22"/>
        </w:rPr>
        <w:t>η</w:t>
      </w:r>
      <w:r w:rsidRPr="002141F4">
        <w:rPr>
          <w:noProof/>
          <w:szCs w:val="22"/>
        </w:rPr>
        <w:t>, πρέπει να χορηγείται και αν ακόμη έχουν παρέλθει 24 ώρες από τη λήψη.</w:t>
      </w:r>
    </w:p>
    <w:p w14:paraId="48E42F24" w14:textId="3EFD93C4" w:rsidR="003B3901" w:rsidRPr="002141F4" w:rsidRDefault="003B3901" w:rsidP="00FF6CD5">
      <w:pPr>
        <w:spacing w:line="360" w:lineRule="auto"/>
        <w:rPr>
          <w:noProof/>
          <w:szCs w:val="22"/>
        </w:rPr>
      </w:pPr>
      <w:r w:rsidRPr="002141F4">
        <w:rPr>
          <w:noProof/>
          <w:szCs w:val="22"/>
        </w:rPr>
        <w:t>Ενδοφλεβίως χορηγούνται αρχικώς 150</w:t>
      </w:r>
      <w:r w:rsidR="00B8450E" w:rsidRPr="002141F4">
        <w:rPr>
          <w:noProof/>
          <w:szCs w:val="22"/>
        </w:rPr>
        <w:t xml:space="preserve"> </w:t>
      </w:r>
      <w:r w:rsidRPr="002141F4">
        <w:rPr>
          <w:noProof/>
          <w:szCs w:val="22"/>
        </w:rPr>
        <w:t>mg/kg ΒΣ διαλυμένα σε 200</w:t>
      </w:r>
      <w:r w:rsidR="00B8450E" w:rsidRPr="002141F4">
        <w:rPr>
          <w:noProof/>
          <w:szCs w:val="22"/>
        </w:rPr>
        <w:t xml:space="preserve"> </w:t>
      </w:r>
      <w:r w:rsidR="007A3A38">
        <w:rPr>
          <w:noProof/>
          <w:szCs w:val="22"/>
          <w:lang w:val="en-US"/>
        </w:rPr>
        <w:t>mL</w:t>
      </w:r>
      <w:r w:rsidRPr="002141F4">
        <w:rPr>
          <w:noProof/>
          <w:szCs w:val="22"/>
        </w:rPr>
        <w:t xml:space="preserve"> γλυκόζης 5% σε έγχυση 15-20 λεπτών, ακολουθούμενα από έγχυση 50</w:t>
      </w:r>
      <w:r w:rsidR="00B8450E" w:rsidRPr="002141F4">
        <w:rPr>
          <w:noProof/>
          <w:szCs w:val="22"/>
        </w:rPr>
        <w:t xml:space="preserve"> </w:t>
      </w:r>
      <w:r w:rsidRPr="002141F4">
        <w:rPr>
          <w:noProof/>
          <w:szCs w:val="22"/>
        </w:rPr>
        <w:t>mg/kg ΒΣ σε 500</w:t>
      </w:r>
      <w:r w:rsidR="00B8450E" w:rsidRPr="002141F4">
        <w:rPr>
          <w:noProof/>
          <w:szCs w:val="22"/>
        </w:rPr>
        <w:t xml:space="preserve"> </w:t>
      </w:r>
      <w:r w:rsidR="007A3A38">
        <w:rPr>
          <w:noProof/>
          <w:szCs w:val="22"/>
          <w:lang w:val="en-US"/>
        </w:rPr>
        <w:t>mL</w:t>
      </w:r>
      <w:r w:rsidRPr="002141F4">
        <w:rPr>
          <w:noProof/>
          <w:szCs w:val="22"/>
        </w:rPr>
        <w:t xml:space="preserve"> γλυκόζης 5% τις επόμενες 4 ώρες και μετά 100</w:t>
      </w:r>
      <w:r w:rsidR="00B8450E" w:rsidRPr="002141F4">
        <w:rPr>
          <w:noProof/>
          <w:szCs w:val="22"/>
        </w:rPr>
        <w:t xml:space="preserve"> </w:t>
      </w:r>
      <w:r w:rsidRPr="002141F4">
        <w:rPr>
          <w:noProof/>
          <w:szCs w:val="22"/>
        </w:rPr>
        <w:t>mg/kg ΒΣ σε 1000</w:t>
      </w:r>
      <w:r w:rsidR="00B8450E" w:rsidRPr="002141F4">
        <w:rPr>
          <w:noProof/>
          <w:szCs w:val="22"/>
        </w:rPr>
        <w:t xml:space="preserve"> </w:t>
      </w:r>
      <w:r w:rsidR="007A3A38">
        <w:rPr>
          <w:noProof/>
          <w:szCs w:val="22"/>
          <w:lang w:val="en-US"/>
        </w:rPr>
        <w:t>mL</w:t>
      </w:r>
      <w:r w:rsidRPr="002141F4">
        <w:rPr>
          <w:noProof/>
          <w:szCs w:val="22"/>
        </w:rPr>
        <w:t xml:space="preserve"> γλυκόζης 5% για τις επόμενες 16 ώρες.</w:t>
      </w:r>
    </w:p>
    <w:p w14:paraId="74F16253" w14:textId="77777777" w:rsidR="003B3901" w:rsidRPr="002141F4" w:rsidRDefault="003B3901" w:rsidP="00FF6CD5">
      <w:pPr>
        <w:pStyle w:val="Default"/>
        <w:spacing w:line="360" w:lineRule="auto"/>
        <w:rPr>
          <w:noProof/>
          <w:color w:val="auto"/>
          <w:sz w:val="22"/>
          <w:szCs w:val="22"/>
          <w:lang w:eastAsia="en-US"/>
        </w:rPr>
      </w:pPr>
      <w:r w:rsidRPr="002141F4">
        <w:rPr>
          <w:noProof/>
          <w:color w:val="auto"/>
          <w:sz w:val="22"/>
          <w:szCs w:val="22"/>
          <w:lang w:eastAsia="en-US"/>
        </w:rPr>
        <w:t xml:space="preserve">Συνολικός χρόνος χορήγησης 20 ώρες. Εάν εμφανισθεί αναφυλακτική αντίδραση αντιμετωπίζεται με αντιϊσταμινικά και η χορήγηση της ακετυλοκυστεΐνης μπορεί να συνεχισθεί με χαμηλότερο ρυθμό. </w:t>
      </w:r>
    </w:p>
    <w:p w14:paraId="6B55F9B8" w14:textId="77777777" w:rsidR="003B3901" w:rsidRPr="002141F4" w:rsidRDefault="003B3901" w:rsidP="00FF6CD5">
      <w:pPr>
        <w:pStyle w:val="Default"/>
        <w:spacing w:line="360" w:lineRule="auto"/>
        <w:rPr>
          <w:noProof/>
          <w:color w:val="auto"/>
          <w:sz w:val="22"/>
          <w:szCs w:val="22"/>
          <w:lang w:eastAsia="en-US"/>
        </w:rPr>
      </w:pPr>
      <w:r w:rsidRPr="002141F4">
        <w:rPr>
          <w:noProof/>
          <w:color w:val="auto"/>
          <w:sz w:val="22"/>
          <w:szCs w:val="22"/>
          <w:lang w:eastAsia="en-US"/>
        </w:rPr>
        <w:t>Από του στόματος χορηγούνται αρχικώς 140</w:t>
      </w:r>
      <w:r w:rsidR="00B8450E" w:rsidRPr="002141F4">
        <w:rPr>
          <w:noProof/>
          <w:color w:val="auto"/>
          <w:sz w:val="22"/>
          <w:szCs w:val="22"/>
          <w:lang w:eastAsia="en-US"/>
        </w:rPr>
        <w:t xml:space="preserve"> </w:t>
      </w:r>
      <w:r w:rsidRPr="002141F4">
        <w:rPr>
          <w:noProof/>
          <w:color w:val="auto"/>
          <w:sz w:val="22"/>
          <w:szCs w:val="22"/>
          <w:lang w:eastAsia="en-US"/>
        </w:rPr>
        <w:t>mg/kg ΒΣ και εν συνεχεία 70</w:t>
      </w:r>
      <w:r w:rsidR="00B8450E" w:rsidRPr="002141F4">
        <w:rPr>
          <w:noProof/>
          <w:color w:val="auto"/>
          <w:sz w:val="22"/>
          <w:szCs w:val="22"/>
          <w:lang w:eastAsia="en-US"/>
        </w:rPr>
        <w:t xml:space="preserve"> </w:t>
      </w:r>
      <w:r w:rsidRPr="002141F4">
        <w:rPr>
          <w:noProof/>
          <w:color w:val="auto"/>
          <w:sz w:val="22"/>
          <w:szCs w:val="22"/>
          <w:lang w:eastAsia="en-US"/>
        </w:rPr>
        <w:t>mg/kg ΒΣ κάθε 4 ώρες για 17 φορές</w:t>
      </w:r>
      <w:r w:rsidR="00D475C9" w:rsidRPr="002141F4">
        <w:rPr>
          <w:noProof/>
          <w:color w:val="auto"/>
          <w:sz w:val="22"/>
          <w:szCs w:val="22"/>
          <w:lang w:eastAsia="en-US"/>
        </w:rPr>
        <w:t xml:space="preserve"> (συνολική διάρκεια θεραπείας 72 ώρες)</w:t>
      </w:r>
      <w:r w:rsidRPr="002141F4">
        <w:rPr>
          <w:noProof/>
          <w:color w:val="auto"/>
          <w:sz w:val="22"/>
          <w:szCs w:val="22"/>
          <w:lang w:eastAsia="en-US"/>
        </w:rPr>
        <w:t>.</w:t>
      </w:r>
    </w:p>
    <w:p w14:paraId="5C59F384" w14:textId="211AA18B" w:rsidR="003B3901" w:rsidRPr="002141F4" w:rsidRDefault="003B3901" w:rsidP="00FF6CD5">
      <w:pPr>
        <w:pStyle w:val="Default"/>
        <w:spacing w:line="360" w:lineRule="auto"/>
        <w:rPr>
          <w:noProof/>
          <w:color w:val="auto"/>
          <w:sz w:val="22"/>
          <w:szCs w:val="22"/>
          <w:lang w:eastAsia="en-US"/>
        </w:rPr>
      </w:pPr>
      <w:r w:rsidRPr="002141F4">
        <w:rPr>
          <w:noProof/>
          <w:color w:val="auto"/>
          <w:sz w:val="22"/>
          <w:szCs w:val="22"/>
          <w:lang w:eastAsia="en-US"/>
        </w:rPr>
        <w:t>Η μεθειονίνη πρέπει να χορηγείται το αργότερο 10 ώρες μετά τη λήψη, διαφορετικά η αποτελεσματικότητά της μειώνεται. Χορηγούνται από του στόματος 2,5</w:t>
      </w:r>
      <w:r w:rsidR="00B8450E" w:rsidRPr="002141F4">
        <w:rPr>
          <w:noProof/>
          <w:color w:val="auto"/>
          <w:sz w:val="22"/>
          <w:szCs w:val="22"/>
          <w:lang w:eastAsia="en-US"/>
        </w:rPr>
        <w:t xml:space="preserve"> </w:t>
      </w:r>
      <w:r w:rsidRPr="002141F4">
        <w:rPr>
          <w:noProof/>
          <w:color w:val="auto"/>
          <w:sz w:val="22"/>
          <w:szCs w:val="22"/>
          <w:lang w:eastAsia="en-US"/>
        </w:rPr>
        <w:t xml:space="preserve">g κάθε 4 ώρες και για 4 φορές. </w:t>
      </w:r>
    </w:p>
    <w:p w14:paraId="01DFE98C" w14:textId="38999A53" w:rsidR="003B3901" w:rsidRPr="002141F4" w:rsidRDefault="003B3901" w:rsidP="00FF6CD5">
      <w:pPr>
        <w:pStyle w:val="Default"/>
        <w:spacing w:line="360" w:lineRule="auto"/>
        <w:rPr>
          <w:noProof/>
          <w:color w:val="auto"/>
          <w:sz w:val="22"/>
          <w:szCs w:val="22"/>
          <w:lang w:eastAsia="en-US"/>
        </w:rPr>
      </w:pPr>
      <w:r w:rsidRPr="002141F4">
        <w:rPr>
          <w:noProof/>
          <w:color w:val="auto"/>
          <w:sz w:val="22"/>
          <w:szCs w:val="22"/>
          <w:lang w:eastAsia="en-US"/>
        </w:rPr>
        <w:t>Εάν τα εντωμεταξύ μετρηθέντα επίπεδα της παρακεταμόλης είναι κάτω από το όριο κινδύνου</w:t>
      </w:r>
      <w:r w:rsidR="00903AAD" w:rsidRPr="00E30D83">
        <w:rPr>
          <w:noProof/>
          <w:color w:val="auto"/>
          <w:sz w:val="22"/>
          <w:szCs w:val="22"/>
          <w:lang w:eastAsia="en-US"/>
        </w:rPr>
        <w:t>,</w:t>
      </w:r>
      <w:r w:rsidRPr="002141F4">
        <w:rPr>
          <w:noProof/>
          <w:color w:val="auto"/>
          <w:sz w:val="22"/>
          <w:szCs w:val="22"/>
          <w:lang w:eastAsia="en-US"/>
        </w:rPr>
        <w:t xml:space="preserve"> διακόπτεται η χορήγηση του αντιδότου. </w:t>
      </w:r>
    </w:p>
    <w:p w14:paraId="060F4421" w14:textId="77777777" w:rsidR="00844D79" w:rsidRPr="002141F4" w:rsidRDefault="003B3901" w:rsidP="00FF6CD5">
      <w:pPr>
        <w:spacing w:line="360" w:lineRule="auto"/>
        <w:rPr>
          <w:noProof/>
          <w:szCs w:val="22"/>
        </w:rPr>
      </w:pPr>
      <w:r w:rsidRPr="002141F4">
        <w:rPr>
          <w:noProof/>
          <w:szCs w:val="22"/>
        </w:rPr>
        <w:t>Η αποτυχία της αγωγής με αντίδοτα είναι ένδειξη για μεταμόσχευση ήπατος.</w:t>
      </w:r>
    </w:p>
    <w:p w14:paraId="12B5562C" w14:textId="77777777" w:rsidR="00844D79" w:rsidRPr="002141F4" w:rsidRDefault="00441CEE" w:rsidP="00FF6CD5">
      <w:pPr>
        <w:spacing w:line="360" w:lineRule="auto"/>
        <w:rPr>
          <w:szCs w:val="22"/>
          <w:lang w:val="en-US"/>
        </w:rPr>
      </w:pPr>
      <w:r w:rsidRPr="006142E0">
        <w:rPr>
          <w:noProof/>
          <w:szCs w:val="22"/>
          <w:lang w:eastAsia="el-GR"/>
        </w:rPr>
        <w:lastRenderedPageBreak/>
        <w:drawing>
          <wp:inline distT="0" distB="0" distL="0" distR="0" wp14:anchorId="2E356244" wp14:editId="51078CF0">
            <wp:extent cx="3355340" cy="40938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21651"/>
                    <a:stretch>
                      <a:fillRect/>
                    </a:stretch>
                  </pic:blipFill>
                  <pic:spPr bwMode="auto">
                    <a:xfrm>
                      <a:off x="0" y="0"/>
                      <a:ext cx="3355340" cy="4093845"/>
                    </a:xfrm>
                    <a:prstGeom prst="rect">
                      <a:avLst/>
                    </a:prstGeom>
                    <a:noFill/>
                    <a:ln>
                      <a:noFill/>
                    </a:ln>
                  </pic:spPr>
                </pic:pic>
              </a:graphicData>
            </a:graphic>
          </wp:inline>
        </w:drawing>
      </w:r>
    </w:p>
    <w:p w14:paraId="51B79896" w14:textId="77777777" w:rsidR="00394D3E" w:rsidRPr="002141F4" w:rsidRDefault="00E642A1" w:rsidP="00394D3E">
      <w:pPr>
        <w:spacing w:line="360" w:lineRule="auto"/>
        <w:ind w:left="567"/>
        <w:rPr>
          <w:noProof/>
          <w:szCs w:val="22"/>
        </w:rPr>
      </w:pPr>
      <w:r w:rsidRPr="002141F4">
        <w:rPr>
          <w:szCs w:val="22"/>
        </w:rPr>
        <w:t>Σχήμα 1.</w:t>
      </w:r>
      <w:r w:rsidR="00394D3E" w:rsidRPr="00394D3E">
        <w:rPr>
          <w:noProof/>
          <w:szCs w:val="22"/>
        </w:rPr>
        <w:t xml:space="preserve"> </w:t>
      </w:r>
      <w:r w:rsidR="00394D3E" w:rsidRPr="002141F4">
        <w:rPr>
          <w:noProof/>
          <w:szCs w:val="22"/>
        </w:rPr>
        <w:t xml:space="preserve">Κατά RUMACK - MATTHEW νομόγραμμα προσδιορισμού του κινδύνου ηπατοκυτταρικής βλάβης σύμφωνα με τις συγκεντρώσεις της παρακεταμόλης στο πλάσμα. </w:t>
      </w:r>
      <w:r w:rsidR="00394D3E" w:rsidRPr="002141F4">
        <w:rPr>
          <w:b/>
          <w:noProof/>
          <w:szCs w:val="22"/>
        </w:rPr>
        <w:t>Ισχύει μόνο για εφάπαξ λήψη παρακεταμόλης</w:t>
      </w:r>
      <w:r w:rsidR="00394D3E" w:rsidRPr="002141F4">
        <w:rPr>
          <w:noProof/>
          <w:szCs w:val="22"/>
        </w:rPr>
        <w:t>. Για τα άτομα υψηλού κινδύνου, ο κίνδυνος αρχίζει ήδη από τη συνεχή γραμμή.</w:t>
      </w:r>
    </w:p>
    <w:p w14:paraId="7E011702" w14:textId="77777777" w:rsidR="00844D79" w:rsidRPr="002141F4" w:rsidRDefault="00844D79" w:rsidP="00FF6CD5">
      <w:pPr>
        <w:spacing w:line="360" w:lineRule="auto"/>
        <w:rPr>
          <w:szCs w:val="22"/>
        </w:rPr>
      </w:pPr>
    </w:p>
    <w:p w14:paraId="0ADC96A0" w14:textId="77777777" w:rsidR="00E642A1" w:rsidRPr="002141F4" w:rsidRDefault="00E642A1" w:rsidP="00F91B24">
      <w:pPr>
        <w:spacing w:line="360" w:lineRule="auto"/>
        <w:jc w:val="both"/>
        <w:rPr>
          <w:szCs w:val="22"/>
        </w:rPr>
      </w:pPr>
    </w:p>
    <w:p w14:paraId="4B8B2502" w14:textId="77777777" w:rsidR="00496809" w:rsidRPr="002141F4" w:rsidRDefault="00496809" w:rsidP="00FF6CD5">
      <w:pPr>
        <w:spacing w:line="360" w:lineRule="auto"/>
        <w:rPr>
          <w:szCs w:val="22"/>
        </w:rPr>
      </w:pPr>
      <w:r w:rsidRPr="002141F4">
        <w:rPr>
          <w:b/>
          <w:szCs w:val="22"/>
        </w:rPr>
        <w:t>5.</w:t>
      </w:r>
      <w:r w:rsidRPr="002141F4">
        <w:rPr>
          <w:b/>
          <w:szCs w:val="22"/>
        </w:rPr>
        <w:tab/>
        <w:t>ΦΑΡΜΑΚΟΛΟΓΙΚΕΣ ΙΔΙΟΤΗΤΕΣ</w:t>
      </w:r>
    </w:p>
    <w:p w14:paraId="34179000" w14:textId="77777777" w:rsidR="00496809" w:rsidRPr="002141F4" w:rsidRDefault="00496809" w:rsidP="00FF6CD5">
      <w:pPr>
        <w:spacing w:line="360" w:lineRule="auto"/>
        <w:rPr>
          <w:szCs w:val="22"/>
        </w:rPr>
      </w:pPr>
    </w:p>
    <w:p w14:paraId="06FC146A" w14:textId="77777777" w:rsidR="00496809" w:rsidRPr="002141F4" w:rsidRDefault="00496809" w:rsidP="00FF6CD5">
      <w:pPr>
        <w:spacing w:line="360" w:lineRule="auto"/>
        <w:rPr>
          <w:szCs w:val="22"/>
        </w:rPr>
      </w:pPr>
      <w:r w:rsidRPr="002141F4">
        <w:rPr>
          <w:b/>
          <w:szCs w:val="22"/>
        </w:rPr>
        <w:t>5.1</w:t>
      </w:r>
      <w:r w:rsidRPr="002141F4">
        <w:rPr>
          <w:b/>
          <w:szCs w:val="22"/>
        </w:rPr>
        <w:tab/>
        <w:t>Φαρμακοδυναμικές ιδιότητες</w:t>
      </w:r>
    </w:p>
    <w:p w14:paraId="0FA7D3C5" w14:textId="77777777" w:rsidR="00496809" w:rsidRPr="002141F4" w:rsidRDefault="00496809" w:rsidP="00FF6CD5">
      <w:pPr>
        <w:spacing w:line="360" w:lineRule="auto"/>
        <w:rPr>
          <w:szCs w:val="22"/>
        </w:rPr>
      </w:pPr>
    </w:p>
    <w:p w14:paraId="3473D4F4" w14:textId="087A6165" w:rsidR="00496809" w:rsidRPr="002141F4" w:rsidRDefault="00496809" w:rsidP="00FF6CD5">
      <w:pPr>
        <w:spacing w:line="360" w:lineRule="auto"/>
        <w:rPr>
          <w:szCs w:val="22"/>
        </w:rPr>
      </w:pPr>
      <w:r w:rsidRPr="002141F4">
        <w:rPr>
          <w:szCs w:val="22"/>
        </w:rPr>
        <w:t>Φαρμακοθε</w:t>
      </w:r>
      <w:r w:rsidR="00116730" w:rsidRPr="002141F4">
        <w:rPr>
          <w:szCs w:val="22"/>
        </w:rPr>
        <w:t xml:space="preserve">ραπευτική κατηγορία: </w:t>
      </w:r>
      <w:r w:rsidR="00903AAD">
        <w:rPr>
          <w:szCs w:val="22"/>
        </w:rPr>
        <w:t xml:space="preserve">Αναλγητικά, Άλλα αναλγητικά και αντιπυρετικά, </w:t>
      </w:r>
      <w:r w:rsidR="00116730" w:rsidRPr="002141F4">
        <w:rPr>
          <w:szCs w:val="22"/>
        </w:rPr>
        <w:t>Ανιλίδες</w:t>
      </w:r>
      <w:r w:rsidRPr="002141F4">
        <w:rPr>
          <w:szCs w:val="22"/>
        </w:rPr>
        <w:t xml:space="preserve">, κωδικός ATC: </w:t>
      </w:r>
      <w:r w:rsidR="00116730" w:rsidRPr="002141F4">
        <w:rPr>
          <w:szCs w:val="22"/>
        </w:rPr>
        <w:t>N02BE01</w:t>
      </w:r>
    </w:p>
    <w:p w14:paraId="5ABD6ACF" w14:textId="77777777" w:rsidR="009E3E1C" w:rsidRPr="002141F4" w:rsidRDefault="009E3E1C" w:rsidP="00FF6CD5">
      <w:pPr>
        <w:spacing w:line="360" w:lineRule="auto"/>
        <w:rPr>
          <w:noProof/>
          <w:szCs w:val="22"/>
        </w:rPr>
      </w:pPr>
    </w:p>
    <w:p w14:paraId="2FB75CB2" w14:textId="77777777" w:rsidR="00116730" w:rsidRPr="002141F4" w:rsidRDefault="00116730" w:rsidP="00FF6CD5">
      <w:pPr>
        <w:spacing w:line="360" w:lineRule="auto"/>
        <w:rPr>
          <w:szCs w:val="22"/>
        </w:rPr>
      </w:pPr>
      <w:r w:rsidRPr="002141F4">
        <w:rPr>
          <w:szCs w:val="22"/>
        </w:rPr>
        <w:t>Η παρακεταμόλη αποτελεί τον κύριο ενεργό μεταβολίτη της φαινακετίνης</w:t>
      </w:r>
      <w:r w:rsidR="00903AAD">
        <w:rPr>
          <w:szCs w:val="22"/>
        </w:rPr>
        <w:t>,</w:t>
      </w:r>
      <w:r w:rsidRPr="002141F4">
        <w:rPr>
          <w:szCs w:val="22"/>
        </w:rPr>
        <w:t xml:space="preserve"> αλλά στερείται των </w:t>
      </w:r>
      <w:r w:rsidR="00D475C9" w:rsidRPr="002141F4">
        <w:rPr>
          <w:szCs w:val="22"/>
        </w:rPr>
        <w:t xml:space="preserve">ανεπιθύμητων ενεργειών </w:t>
      </w:r>
      <w:r w:rsidRPr="002141F4">
        <w:rPr>
          <w:szCs w:val="22"/>
        </w:rPr>
        <w:t>της. Έχει αναλγητικές και αντιπυρετικές ιδιότητες παρόμοιες με αυτές του ακετυλοσαλικυλικού οξέος και ασθενείς αντιφλεγμονώδεις ιδιότητες. Είναι ασθενής αναστολέας της βιοσύνθεσης των προσταγλανδινών</w:t>
      </w:r>
      <w:r w:rsidR="00903AAD">
        <w:rPr>
          <w:szCs w:val="22"/>
        </w:rPr>
        <w:t>,</w:t>
      </w:r>
      <w:r w:rsidRPr="002141F4">
        <w:rPr>
          <w:szCs w:val="22"/>
        </w:rPr>
        <w:t xml:space="preserve"> αν και υπάρχουν ενδείξεις ότι είναι πιο αποτελεσματική κατά των ενζύμων του </w:t>
      </w:r>
      <w:r w:rsidR="003503E4" w:rsidRPr="002141F4">
        <w:rPr>
          <w:szCs w:val="22"/>
        </w:rPr>
        <w:t xml:space="preserve">κεντρικού νευρικού συστήματος </w:t>
      </w:r>
      <w:r w:rsidRPr="002141F4">
        <w:rPr>
          <w:szCs w:val="22"/>
        </w:rPr>
        <w:t>από αυτά της περιφέρειας. Η αντιπυρετική της δράση οφείλεται σε άμεση επίδραση στα υποθαλαμικά θερμορυθμιστικά κέντρα. Ο μηχανισμός της αναλγητικής δράσης της δεν είναι γνωστός</w:t>
      </w:r>
      <w:r w:rsidR="00E13E8A" w:rsidRPr="002141F4">
        <w:rPr>
          <w:szCs w:val="22"/>
        </w:rPr>
        <w:t xml:space="preserve"> </w:t>
      </w:r>
      <w:r w:rsidR="000B30D5" w:rsidRPr="002141F4">
        <w:rPr>
          <w:szCs w:val="22"/>
        </w:rPr>
        <w:t>και μπορεί να σχετίζεται με κεντρικές και περιφερικές δράσεις.</w:t>
      </w:r>
    </w:p>
    <w:p w14:paraId="286BD5CF" w14:textId="77777777" w:rsidR="006C0619" w:rsidRPr="002141F4" w:rsidRDefault="00116730" w:rsidP="00FF6CD5">
      <w:pPr>
        <w:spacing w:line="360" w:lineRule="auto"/>
        <w:rPr>
          <w:szCs w:val="22"/>
        </w:rPr>
      </w:pPr>
      <w:r w:rsidRPr="002141F4">
        <w:rPr>
          <w:szCs w:val="22"/>
        </w:rPr>
        <w:lastRenderedPageBreak/>
        <w:t>Εφάπαξ ή επαναλαμβανόμενη δοσολογία δεν επιδρά στο καρδιαγγειακό ή στο αναπνευστικό σύστημα. Σε αντίθεση με το ακετυλοσαλικυλικό οξύ, η παρακεταμόλη δεν επηρεάζει το</w:t>
      </w:r>
      <w:r w:rsidR="00903AAD">
        <w:rPr>
          <w:szCs w:val="22"/>
        </w:rPr>
        <w:t>ν</w:t>
      </w:r>
      <w:r w:rsidRPr="002141F4">
        <w:rPr>
          <w:szCs w:val="22"/>
        </w:rPr>
        <w:t xml:space="preserve"> χρόνο προθρομβίνης, δεν έχει αντιαιμοπεταλιακή δράση και δεν προκαλεί εξελκώσεις στον γαστρεντερικό σωλήνα.</w:t>
      </w:r>
      <w:r w:rsidR="005F2A58" w:rsidRPr="002141F4">
        <w:rPr>
          <w:szCs w:val="22"/>
        </w:rPr>
        <w:t xml:space="preserve"> Η απουσία</w:t>
      </w:r>
      <w:r w:rsidRPr="002141F4">
        <w:rPr>
          <w:szCs w:val="22"/>
        </w:rPr>
        <w:t xml:space="preserve"> </w:t>
      </w:r>
      <w:r w:rsidR="001119AC" w:rsidRPr="002141F4">
        <w:rPr>
          <w:szCs w:val="22"/>
        </w:rPr>
        <w:t>αναστολής της περιφερικής προσταγλανδίνης προσδίδει σημαντικ</w:t>
      </w:r>
      <w:r w:rsidR="006C0619" w:rsidRPr="002141F4">
        <w:rPr>
          <w:szCs w:val="22"/>
        </w:rPr>
        <w:t xml:space="preserve">ές </w:t>
      </w:r>
      <w:r w:rsidR="001119AC" w:rsidRPr="002141F4">
        <w:rPr>
          <w:szCs w:val="22"/>
        </w:rPr>
        <w:t xml:space="preserve">φαρμακολογικές ιδιότητες όπως η </w:t>
      </w:r>
      <w:r w:rsidR="006C0619" w:rsidRPr="002141F4">
        <w:rPr>
          <w:szCs w:val="22"/>
        </w:rPr>
        <w:t>δια</w:t>
      </w:r>
      <w:r w:rsidR="001119AC" w:rsidRPr="002141F4">
        <w:rPr>
          <w:szCs w:val="22"/>
        </w:rPr>
        <w:t>τήρηση τ</w:t>
      </w:r>
      <w:r w:rsidR="006C0619" w:rsidRPr="002141F4">
        <w:rPr>
          <w:szCs w:val="22"/>
        </w:rPr>
        <w:t xml:space="preserve">ων </w:t>
      </w:r>
      <w:r w:rsidR="001119AC" w:rsidRPr="002141F4">
        <w:rPr>
          <w:szCs w:val="22"/>
        </w:rPr>
        <w:t xml:space="preserve">προσταγλανδινών που προστατεύουν </w:t>
      </w:r>
      <w:r w:rsidR="006C0619" w:rsidRPr="002141F4">
        <w:rPr>
          <w:szCs w:val="22"/>
        </w:rPr>
        <w:t xml:space="preserve">το εσωτερικό του </w:t>
      </w:r>
      <w:r w:rsidR="001119AC" w:rsidRPr="002141F4">
        <w:rPr>
          <w:szCs w:val="22"/>
        </w:rPr>
        <w:t>γαστρεντερικ</w:t>
      </w:r>
      <w:r w:rsidR="006C0619" w:rsidRPr="002141F4">
        <w:rPr>
          <w:szCs w:val="22"/>
        </w:rPr>
        <w:t>ού</w:t>
      </w:r>
      <w:r w:rsidR="001119AC" w:rsidRPr="002141F4">
        <w:rPr>
          <w:szCs w:val="22"/>
        </w:rPr>
        <w:t xml:space="preserve"> σωλήνα.</w:t>
      </w:r>
      <w:r w:rsidR="006C0619" w:rsidRPr="002141F4">
        <w:rPr>
          <w:szCs w:val="22"/>
        </w:rPr>
        <w:t xml:space="preserve"> </w:t>
      </w:r>
      <w:r w:rsidR="001119AC" w:rsidRPr="002141F4">
        <w:rPr>
          <w:szCs w:val="22"/>
        </w:rPr>
        <w:t xml:space="preserve">Επομένως, η παρακεταμόλη είναι ιδιαίτερα κατάλληλη για ασθενείς με </w:t>
      </w:r>
      <w:r w:rsidR="006C0619" w:rsidRPr="002141F4">
        <w:rPr>
          <w:szCs w:val="22"/>
        </w:rPr>
        <w:t>ιστορικό</w:t>
      </w:r>
      <w:r w:rsidR="001F6A47" w:rsidRPr="002141F4">
        <w:rPr>
          <w:szCs w:val="22"/>
        </w:rPr>
        <w:t xml:space="preserve"> νόσου ή για</w:t>
      </w:r>
      <w:r w:rsidR="001119AC" w:rsidRPr="002141F4">
        <w:rPr>
          <w:szCs w:val="22"/>
        </w:rPr>
        <w:t xml:space="preserve"> ασθενείς που λαμβάνουν ταυτόχρονα φαρμακευτική αγωγή</w:t>
      </w:r>
      <w:r w:rsidR="006C0619" w:rsidRPr="002141F4">
        <w:rPr>
          <w:szCs w:val="22"/>
        </w:rPr>
        <w:t xml:space="preserve"> </w:t>
      </w:r>
      <w:r w:rsidR="001F6A47" w:rsidRPr="002141F4">
        <w:rPr>
          <w:szCs w:val="22"/>
        </w:rPr>
        <w:t>στην οποία</w:t>
      </w:r>
      <w:r w:rsidR="001119AC" w:rsidRPr="002141F4">
        <w:rPr>
          <w:szCs w:val="22"/>
        </w:rPr>
        <w:t xml:space="preserve"> η αναστολή της </w:t>
      </w:r>
      <w:r w:rsidR="001F6A47" w:rsidRPr="002141F4">
        <w:rPr>
          <w:szCs w:val="22"/>
        </w:rPr>
        <w:t xml:space="preserve">περιφερικής </w:t>
      </w:r>
      <w:r w:rsidR="001119AC" w:rsidRPr="002141F4">
        <w:rPr>
          <w:szCs w:val="22"/>
        </w:rPr>
        <w:t xml:space="preserve">προσταγλανδίνης </w:t>
      </w:r>
      <w:r w:rsidR="006C0619" w:rsidRPr="002141F4">
        <w:rPr>
          <w:szCs w:val="22"/>
        </w:rPr>
        <w:t>δε</w:t>
      </w:r>
      <w:r w:rsidR="00903AAD">
        <w:rPr>
          <w:szCs w:val="22"/>
        </w:rPr>
        <w:t>ν</w:t>
      </w:r>
      <w:r w:rsidR="006C0619" w:rsidRPr="002141F4">
        <w:rPr>
          <w:szCs w:val="22"/>
        </w:rPr>
        <w:t xml:space="preserve"> </w:t>
      </w:r>
      <w:r w:rsidR="001119AC" w:rsidRPr="002141F4">
        <w:rPr>
          <w:szCs w:val="22"/>
        </w:rPr>
        <w:t>θα ήταν επιθ</w:t>
      </w:r>
      <w:r w:rsidR="006C0619" w:rsidRPr="002141F4">
        <w:rPr>
          <w:szCs w:val="22"/>
        </w:rPr>
        <w:t>υ</w:t>
      </w:r>
      <w:r w:rsidR="001119AC" w:rsidRPr="002141F4">
        <w:rPr>
          <w:szCs w:val="22"/>
        </w:rPr>
        <w:t>μητ</w:t>
      </w:r>
      <w:r w:rsidR="006C0619" w:rsidRPr="002141F4">
        <w:rPr>
          <w:szCs w:val="22"/>
        </w:rPr>
        <w:t xml:space="preserve">ή </w:t>
      </w:r>
      <w:r w:rsidR="001119AC" w:rsidRPr="002141F4">
        <w:rPr>
          <w:szCs w:val="22"/>
        </w:rPr>
        <w:t xml:space="preserve">(όπως, για παράδειγμα, </w:t>
      </w:r>
      <w:r w:rsidR="006C0619" w:rsidRPr="002141F4">
        <w:rPr>
          <w:szCs w:val="22"/>
        </w:rPr>
        <w:t xml:space="preserve">ασθενείς με ιστορικό </w:t>
      </w:r>
      <w:r w:rsidR="001119AC" w:rsidRPr="002141F4">
        <w:rPr>
          <w:szCs w:val="22"/>
        </w:rPr>
        <w:t>αιμορραγία</w:t>
      </w:r>
      <w:r w:rsidR="006C0619" w:rsidRPr="002141F4">
        <w:rPr>
          <w:szCs w:val="22"/>
        </w:rPr>
        <w:t>ς στο γαστρεντερικό</w:t>
      </w:r>
      <w:r w:rsidR="001119AC" w:rsidRPr="002141F4">
        <w:rPr>
          <w:szCs w:val="22"/>
        </w:rPr>
        <w:t xml:space="preserve"> ή ηλικιωμένοι).</w:t>
      </w:r>
    </w:p>
    <w:p w14:paraId="4BF62211" w14:textId="77777777" w:rsidR="00496809" w:rsidRPr="002141F4" w:rsidRDefault="00116730" w:rsidP="00FF6CD5">
      <w:pPr>
        <w:spacing w:line="360" w:lineRule="auto"/>
        <w:rPr>
          <w:szCs w:val="22"/>
        </w:rPr>
      </w:pPr>
      <w:r w:rsidRPr="002141F4">
        <w:rPr>
          <w:szCs w:val="22"/>
        </w:rPr>
        <w:t>Η αντιφλεγμονώδης δράση της είναι ακόμη υπό έρευνα.</w:t>
      </w:r>
    </w:p>
    <w:p w14:paraId="3C85C509" w14:textId="77777777" w:rsidR="00116730" w:rsidRPr="002141F4" w:rsidRDefault="00116730" w:rsidP="00FF6CD5">
      <w:pPr>
        <w:spacing w:line="360" w:lineRule="auto"/>
        <w:rPr>
          <w:szCs w:val="22"/>
        </w:rPr>
      </w:pPr>
    </w:p>
    <w:p w14:paraId="72E4C275" w14:textId="77777777" w:rsidR="00496809" w:rsidRPr="002141F4" w:rsidRDefault="00496809" w:rsidP="00FF6CD5">
      <w:pPr>
        <w:spacing w:line="360" w:lineRule="auto"/>
        <w:rPr>
          <w:b/>
          <w:szCs w:val="22"/>
        </w:rPr>
      </w:pPr>
      <w:r w:rsidRPr="002141F4">
        <w:rPr>
          <w:b/>
          <w:szCs w:val="22"/>
        </w:rPr>
        <w:t>5.2</w:t>
      </w:r>
      <w:r w:rsidRPr="002141F4">
        <w:rPr>
          <w:b/>
          <w:szCs w:val="22"/>
        </w:rPr>
        <w:tab/>
        <w:t>Φαρμακοκινητικές ιδιότητες</w:t>
      </w:r>
    </w:p>
    <w:p w14:paraId="4D04FAB0" w14:textId="77777777" w:rsidR="00302D10" w:rsidRPr="002141F4" w:rsidRDefault="00302D10" w:rsidP="00FF6CD5">
      <w:pPr>
        <w:spacing w:line="360" w:lineRule="auto"/>
        <w:rPr>
          <w:szCs w:val="22"/>
        </w:rPr>
      </w:pPr>
    </w:p>
    <w:p w14:paraId="53121943" w14:textId="77777777" w:rsidR="00E642A1" w:rsidRPr="002141F4" w:rsidRDefault="00116730" w:rsidP="00FF6CD5">
      <w:pPr>
        <w:spacing w:line="360" w:lineRule="auto"/>
        <w:rPr>
          <w:noProof/>
          <w:szCs w:val="22"/>
        </w:rPr>
      </w:pPr>
      <w:r w:rsidRPr="002141F4">
        <w:rPr>
          <w:noProof/>
          <w:szCs w:val="22"/>
          <w:u w:val="single"/>
        </w:rPr>
        <w:t>Απορρόφηση</w:t>
      </w:r>
    </w:p>
    <w:p w14:paraId="78600BAF" w14:textId="77777777" w:rsidR="005C5540" w:rsidRPr="002141F4" w:rsidRDefault="00116730" w:rsidP="00FF6CD5">
      <w:pPr>
        <w:spacing w:line="360" w:lineRule="auto"/>
        <w:rPr>
          <w:szCs w:val="22"/>
        </w:rPr>
      </w:pPr>
      <w:r w:rsidRPr="002141F4">
        <w:rPr>
          <w:szCs w:val="22"/>
        </w:rPr>
        <w:t xml:space="preserve">Η απορρόφηση της παρακεταμόλης όταν χορηγείται από το στόμα είναι ταχεία και πλήρης. Οι μέγιστες συγκεντρώσεις στο πλάσμα επιτυγχάνονται σε </w:t>
      </w:r>
      <w:r w:rsidR="00B35B9D" w:rsidRPr="002141F4">
        <w:rPr>
          <w:szCs w:val="22"/>
        </w:rPr>
        <w:t>1</w:t>
      </w:r>
      <w:r w:rsidRPr="002141F4">
        <w:rPr>
          <w:szCs w:val="22"/>
        </w:rPr>
        <w:t xml:space="preserve">0-60 λεπτά μετά </w:t>
      </w:r>
      <w:r w:rsidR="00B35B9D" w:rsidRPr="002141F4">
        <w:rPr>
          <w:szCs w:val="22"/>
        </w:rPr>
        <w:t>την από του στόματος πρόσληψη.</w:t>
      </w:r>
    </w:p>
    <w:p w14:paraId="17AD2B71" w14:textId="77777777" w:rsidR="009349A7" w:rsidRPr="002141F4" w:rsidRDefault="009349A7" w:rsidP="00FF6CD5">
      <w:pPr>
        <w:spacing w:line="360" w:lineRule="auto"/>
        <w:rPr>
          <w:noProof/>
          <w:szCs w:val="22"/>
        </w:rPr>
      </w:pPr>
    </w:p>
    <w:p w14:paraId="6968530F" w14:textId="77777777" w:rsidR="00E642A1" w:rsidRPr="002141F4" w:rsidRDefault="004824C8" w:rsidP="00FF6CD5">
      <w:pPr>
        <w:pStyle w:val="Default"/>
        <w:spacing w:line="360" w:lineRule="auto"/>
        <w:rPr>
          <w:noProof/>
          <w:color w:val="auto"/>
          <w:sz w:val="22"/>
          <w:szCs w:val="22"/>
        </w:rPr>
      </w:pPr>
      <w:r w:rsidRPr="002141F4">
        <w:rPr>
          <w:noProof/>
          <w:color w:val="auto"/>
          <w:sz w:val="22"/>
          <w:szCs w:val="22"/>
          <w:u w:val="single"/>
        </w:rPr>
        <w:t>Κατανομή</w:t>
      </w:r>
    </w:p>
    <w:p w14:paraId="62474B73" w14:textId="77777777" w:rsidR="004824C8" w:rsidRPr="002141F4" w:rsidRDefault="004824C8" w:rsidP="00FF6CD5">
      <w:pPr>
        <w:pStyle w:val="Default"/>
        <w:spacing w:line="360" w:lineRule="auto"/>
        <w:rPr>
          <w:color w:val="auto"/>
          <w:sz w:val="22"/>
          <w:szCs w:val="22"/>
          <w:lang w:eastAsia="en-US"/>
        </w:rPr>
      </w:pPr>
      <w:r w:rsidRPr="002141F4">
        <w:rPr>
          <w:color w:val="auto"/>
          <w:sz w:val="22"/>
          <w:szCs w:val="22"/>
          <w:lang w:eastAsia="en-US"/>
        </w:rPr>
        <w:t>Η παρακεταμόλη κατανέμεται ταχέως σε όλους τους ιστούς.</w:t>
      </w:r>
      <w:r w:rsidR="00B35B9D" w:rsidRPr="002141F4">
        <w:rPr>
          <w:color w:val="auto"/>
          <w:sz w:val="22"/>
          <w:szCs w:val="22"/>
          <w:lang w:eastAsia="zh-CN"/>
        </w:rPr>
        <w:t xml:space="preserve"> Στους ενήλικες, ο όγκος κατανομής της παρακεταμόλης είναι περίπου 1 έως 2 </w:t>
      </w:r>
      <w:r w:rsidR="00B35B9D" w:rsidRPr="002141F4">
        <w:rPr>
          <w:color w:val="auto"/>
          <w:sz w:val="22"/>
          <w:szCs w:val="22"/>
          <w:lang w:val="en-GB" w:eastAsia="zh-CN"/>
        </w:rPr>
        <w:t>L</w:t>
      </w:r>
      <w:r w:rsidR="00B35B9D" w:rsidRPr="002141F4">
        <w:rPr>
          <w:color w:val="auto"/>
          <w:sz w:val="22"/>
          <w:szCs w:val="22"/>
          <w:lang w:eastAsia="zh-CN"/>
        </w:rPr>
        <w:t>/</w:t>
      </w:r>
      <w:r w:rsidR="00B35B9D" w:rsidRPr="002141F4">
        <w:rPr>
          <w:color w:val="auto"/>
          <w:sz w:val="22"/>
          <w:szCs w:val="22"/>
          <w:lang w:val="en-GB" w:eastAsia="zh-CN"/>
        </w:rPr>
        <w:t>kg</w:t>
      </w:r>
      <w:r w:rsidR="00B35B9D" w:rsidRPr="002141F4">
        <w:rPr>
          <w:color w:val="auto"/>
          <w:sz w:val="22"/>
          <w:szCs w:val="22"/>
          <w:lang w:eastAsia="zh-CN"/>
        </w:rPr>
        <w:t xml:space="preserve"> και στα παιδιά κυμαίνεται από 0,7 έως 1,0 </w:t>
      </w:r>
      <w:r w:rsidR="00B35B9D" w:rsidRPr="002141F4">
        <w:rPr>
          <w:color w:val="auto"/>
          <w:sz w:val="22"/>
          <w:szCs w:val="22"/>
          <w:lang w:val="en-GB" w:eastAsia="zh-CN"/>
        </w:rPr>
        <w:t>L</w:t>
      </w:r>
      <w:r w:rsidR="00B35B9D" w:rsidRPr="002141F4">
        <w:rPr>
          <w:color w:val="auto"/>
          <w:sz w:val="22"/>
          <w:szCs w:val="22"/>
          <w:lang w:eastAsia="zh-CN"/>
        </w:rPr>
        <w:t>/</w:t>
      </w:r>
      <w:r w:rsidR="00B35B9D" w:rsidRPr="002141F4">
        <w:rPr>
          <w:color w:val="auto"/>
          <w:sz w:val="22"/>
          <w:szCs w:val="22"/>
          <w:lang w:val="en-GB" w:eastAsia="zh-CN"/>
        </w:rPr>
        <w:t>kg</w:t>
      </w:r>
      <w:r w:rsidR="00B35B9D" w:rsidRPr="002141F4">
        <w:rPr>
          <w:color w:val="auto"/>
          <w:sz w:val="22"/>
          <w:szCs w:val="22"/>
          <w:lang w:eastAsia="zh-CN"/>
        </w:rPr>
        <w:t>.</w:t>
      </w:r>
      <w:r w:rsidRPr="002141F4">
        <w:rPr>
          <w:color w:val="auto"/>
          <w:sz w:val="22"/>
          <w:szCs w:val="22"/>
          <w:lang w:eastAsia="en-US"/>
        </w:rPr>
        <w:t xml:space="preserve"> Οι συγκεντρώσεις </w:t>
      </w:r>
      <w:r w:rsidR="00B35B9D" w:rsidRPr="002141F4">
        <w:rPr>
          <w:color w:val="auto"/>
          <w:sz w:val="22"/>
          <w:szCs w:val="22"/>
          <w:lang w:eastAsia="zh-CN"/>
        </w:rPr>
        <w:t>στο αίμα, στο πλάσμα και στον σίελο είναι συγκρίσιμες.</w:t>
      </w:r>
      <w:r w:rsidR="00B35B9D" w:rsidRPr="002141F4">
        <w:rPr>
          <w:color w:val="auto"/>
          <w:sz w:val="22"/>
          <w:szCs w:val="22"/>
        </w:rPr>
        <w:t xml:space="preserve"> </w:t>
      </w:r>
      <w:r w:rsidR="00B35B9D" w:rsidRPr="002141F4">
        <w:rPr>
          <w:color w:val="auto"/>
          <w:sz w:val="22"/>
          <w:szCs w:val="22"/>
          <w:lang w:eastAsia="zh-CN"/>
        </w:rPr>
        <w:t xml:space="preserve">Οι συνηθισμένες </w:t>
      </w:r>
      <w:r w:rsidRPr="002141F4">
        <w:rPr>
          <w:color w:val="auto"/>
          <w:sz w:val="22"/>
          <w:szCs w:val="22"/>
          <w:lang w:eastAsia="en-US"/>
        </w:rPr>
        <w:t xml:space="preserve">αναλγητικές συγκεντρώσεις στο πλάσμα είναι 5-20 </w:t>
      </w:r>
      <w:r w:rsidR="00B35B9D" w:rsidRPr="002141F4">
        <w:rPr>
          <w:color w:val="auto"/>
          <w:sz w:val="22"/>
          <w:szCs w:val="22"/>
          <w:lang w:eastAsia="en-US"/>
        </w:rPr>
        <w:t>μg</w:t>
      </w:r>
      <w:r w:rsidRPr="002141F4">
        <w:rPr>
          <w:color w:val="auto"/>
          <w:sz w:val="22"/>
          <w:szCs w:val="22"/>
          <w:lang w:eastAsia="en-US"/>
        </w:rPr>
        <w:t>/</w:t>
      </w:r>
      <w:r w:rsidR="00B35B9D" w:rsidRPr="002141F4">
        <w:rPr>
          <w:color w:val="auto"/>
          <w:sz w:val="22"/>
          <w:szCs w:val="22"/>
          <w:lang w:eastAsia="en-US"/>
        </w:rPr>
        <w:t>m</w:t>
      </w:r>
      <w:r w:rsidR="00B35B9D" w:rsidRPr="002141F4">
        <w:rPr>
          <w:color w:val="auto"/>
          <w:sz w:val="22"/>
          <w:szCs w:val="22"/>
          <w:lang w:val="en-US" w:eastAsia="en-US"/>
        </w:rPr>
        <w:t>L</w:t>
      </w:r>
      <w:r w:rsidRPr="002141F4">
        <w:rPr>
          <w:color w:val="auto"/>
          <w:sz w:val="22"/>
          <w:szCs w:val="22"/>
          <w:lang w:eastAsia="en-US"/>
        </w:rPr>
        <w:t>. Έχει βρεθεί ότι</w:t>
      </w:r>
      <w:r w:rsidRPr="002141F4">
        <w:rPr>
          <w:color w:val="auto"/>
          <w:sz w:val="22"/>
          <w:szCs w:val="22"/>
        </w:rPr>
        <w:t xml:space="preserve"> </w:t>
      </w:r>
      <w:r w:rsidRPr="002141F4">
        <w:rPr>
          <w:color w:val="auto"/>
          <w:sz w:val="22"/>
          <w:szCs w:val="22"/>
          <w:lang w:eastAsia="en-US"/>
        </w:rPr>
        <w:t>υπάρχει καλή συγγένεια μεταξύ της συγκέντρωσ</w:t>
      </w:r>
      <w:r w:rsidR="00D475C9" w:rsidRPr="002141F4">
        <w:rPr>
          <w:color w:val="auto"/>
          <w:sz w:val="22"/>
          <w:szCs w:val="22"/>
          <w:lang w:eastAsia="en-US"/>
        </w:rPr>
        <w:t>ή</w:t>
      </w:r>
      <w:r w:rsidRPr="002141F4">
        <w:rPr>
          <w:color w:val="auto"/>
          <w:sz w:val="22"/>
          <w:szCs w:val="22"/>
          <w:lang w:eastAsia="en-US"/>
        </w:rPr>
        <w:t xml:space="preserve">ς της στο πλάσμα και στο αναλγητικό αποτέλεσμά της. Η σύνδεσή της με τις πρωτεΐνες του πλάσματος κυμαίνεται μεταξύ 20% και 50% σε τοξικές συγκεντρώσεις. </w:t>
      </w:r>
    </w:p>
    <w:p w14:paraId="64267549" w14:textId="77777777" w:rsidR="004824C8" w:rsidRPr="002141F4" w:rsidRDefault="004824C8" w:rsidP="00FF6CD5">
      <w:pPr>
        <w:pStyle w:val="Default"/>
        <w:spacing w:line="360" w:lineRule="auto"/>
        <w:rPr>
          <w:color w:val="auto"/>
          <w:sz w:val="22"/>
          <w:szCs w:val="22"/>
          <w:lang w:eastAsia="en-US"/>
        </w:rPr>
      </w:pPr>
      <w:r w:rsidRPr="002141F4">
        <w:rPr>
          <w:color w:val="auto"/>
          <w:sz w:val="22"/>
          <w:szCs w:val="22"/>
          <w:lang w:eastAsia="en-US"/>
        </w:rPr>
        <w:t xml:space="preserve">Διαπερνά τον πλακούντα και απεκκρίνεται στο γάλα. </w:t>
      </w:r>
    </w:p>
    <w:p w14:paraId="326E4AAF" w14:textId="77777777" w:rsidR="005C5540" w:rsidRPr="002141F4" w:rsidRDefault="004824C8" w:rsidP="00FF6CD5">
      <w:pPr>
        <w:spacing w:line="360" w:lineRule="auto"/>
        <w:rPr>
          <w:szCs w:val="22"/>
        </w:rPr>
      </w:pPr>
      <w:r w:rsidRPr="002141F4">
        <w:rPr>
          <w:szCs w:val="22"/>
        </w:rPr>
        <w:t>Η σύνδεση με τις πρωτεΐνες πλάσματος είναι μικρή.</w:t>
      </w:r>
    </w:p>
    <w:p w14:paraId="4C33FB42" w14:textId="77777777" w:rsidR="009349A7" w:rsidRPr="002141F4" w:rsidRDefault="009349A7" w:rsidP="00FF6CD5">
      <w:pPr>
        <w:spacing w:line="360" w:lineRule="auto"/>
        <w:rPr>
          <w:szCs w:val="22"/>
        </w:rPr>
      </w:pPr>
    </w:p>
    <w:p w14:paraId="013AEB19" w14:textId="77777777" w:rsidR="00E642A1" w:rsidRPr="002141F4" w:rsidRDefault="009349A7" w:rsidP="00FF6CD5">
      <w:pPr>
        <w:pStyle w:val="Default"/>
        <w:spacing w:line="360" w:lineRule="auto"/>
        <w:rPr>
          <w:noProof/>
          <w:color w:val="auto"/>
          <w:sz w:val="22"/>
          <w:szCs w:val="22"/>
        </w:rPr>
      </w:pPr>
      <w:r w:rsidRPr="002141F4">
        <w:rPr>
          <w:noProof/>
          <w:color w:val="auto"/>
          <w:sz w:val="22"/>
          <w:szCs w:val="22"/>
          <w:u w:val="single"/>
        </w:rPr>
        <w:t>Βιομετασχηματισμός</w:t>
      </w:r>
    </w:p>
    <w:p w14:paraId="4C59C292" w14:textId="790B6EBE"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t>Η παρακεταμόλη μεταβολίζεται κυρίως στο ήπαρ. Περίπου 4% μεταβολίζεται μέσω των κυτοχρωμάτων του ήπατος Ρ450 και οξειδώνεται σε ένα</w:t>
      </w:r>
      <w:r w:rsidR="00903AAD">
        <w:rPr>
          <w:color w:val="auto"/>
          <w:sz w:val="22"/>
          <w:szCs w:val="22"/>
          <w:lang w:eastAsia="en-US"/>
        </w:rPr>
        <w:t>ν</w:t>
      </w:r>
      <w:r w:rsidRPr="002141F4">
        <w:rPr>
          <w:color w:val="auto"/>
          <w:sz w:val="22"/>
          <w:szCs w:val="22"/>
          <w:lang w:eastAsia="en-US"/>
        </w:rPr>
        <w:t xml:space="preserve"> τοξικό μεταβολίτη</w:t>
      </w:r>
      <w:r w:rsidR="00903AAD">
        <w:rPr>
          <w:color w:val="auto"/>
          <w:sz w:val="22"/>
          <w:szCs w:val="22"/>
          <w:lang w:eastAsia="en-US"/>
        </w:rPr>
        <w:t>,</w:t>
      </w:r>
      <w:r w:rsidRPr="002141F4">
        <w:rPr>
          <w:color w:val="auto"/>
          <w:sz w:val="22"/>
          <w:szCs w:val="22"/>
          <w:lang w:eastAsia="en-US"/>
        </w:rPr>
        <w:t xml:space="preserve"> ο οποίος αποτοξινώνεται με εκλεκτική σύνδεση με την ηπατική γλουταθειόνη και αποβάλλεται στα ούρα συνδεδεμέν</w:t>
      </w:r>
      <w:r w:rsidR="00903AAD">
        <w:rPr>
          <w:color w:val="auto"/>
          <w:sz w:val="22"/>
          <w:szCs w:val="22"/>
          <w:lang w:eastAsia="en-US"/>
        </w:rPr>
        <w:t>ος</w:t>
      </w:r>
      <w:r w:rsidRPr="002141F4">
        <w:rPr>
          <w:color w:val="auto"/>
          <w:sz w:val="22"/>
          <w:szCs w:val="22"/>
          <w:lang w:eastAsia="en-US"/>
        </w:rPr>
        <w:t xml:space="preserve"> με κυστεΐνη και μερκαπτουρικό οξύ. </w:t>
      </w:r>
    </w:p>
    <w:p w14:paraId="2A8A467D" w14:textId="77777777"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t xml:space="preserve">Οι </w:t>
      </w:r>
      <w:r w:rsidR="00525884" w:rsidRPr="002141F4">
        <w:rPr>
          <w:color w:val="auto"/>
          <w:sz w:val="22"/>
          <w:szCs w:val="22"/>
          <w:lang w:eastAsia="en-US"/>
        </w:rPr>
        <w:t xml:space="preserve">δύο </w:t>
      </w:r>
      <w:r w:rsidRPr="002141F4">
        <w:rPr>
          <w:color w:val="auto"/>
          <w:sz w:val="22"/>
          <w:szCs w:val="22"/>
          <w:lang w:eastAsia="en-US"/>
        </w:rPr>
        <w:t xml:space="preserve">πιο σημαντικές οδοί μεταβολισμού είναι η σύζευξη για τον σχηματισμό γλυκουρονιδίων και θειικών ενώσεων, με τη μορφή των οποίων αποβάλλεται στα ούρα. </w:t>
      </w:r>
    </w:p>
    <w:p w14:paraId="15BEFA7C" w14:textId="77777777"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t>Αυτός ο δεύτερος τρόπος κορέν</w:t>
      </w:r>
      <w:r w:rsidR="00F442E4" w:rsidRPr="002141F4">
        <w:rPr>
          <w:color w:val="auto"/>
          <w:sz w:val="22"/>
          <w:szCs w:val="22"/>
          <w:lang w:eastAsia="en-US"/>
        </w:rPr>
        <w:t>ν</w:t>
      </w:r>
      <w:r w:rsidRPr="002141F4">
        <w:rPr>
          <w:color w:val="auto"/>
          <w:sz w:val="22"/>
          <w:szCs w:val="22"/>
          <w:lang w:eastAsia="en-US"/>
        </w:rPr>
        <w:t xml:space="preserve">υται ταχέως αν χορηγούνται μεγαλύτερες δόσεις από τις θεραπευτικές. </w:t>
      </w:r>
    </w:p>
    <w:p w14:paraId="5A9C2F0D" w14:textId="46A47359"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lastRenderedPageBreak/>
        <w:t>Ελάχιστη ποσότητα μεταβολίζεται μέσω των πολλαπλής</w:t>
      </w:r>
      <w:r w:rsidR="00903AAD">
        <w:rPr>
          <w:color w:val="auto"/>
          <w:sz w:val="22"/>
          <w:szCs w:val="22"/>
          <w:lang w:eastAsia="en-US"/>
        </w:rPr>
        <w:t xml:space="preserve"> </w:t>
      </w:r>
      <w:r w:rsidRPr="002141F4">
        <w:rPr>
          <w:color w:val="auto"/>
          <w:sz w:val="22"/>
          <w:szCs w:val="22"/>
          <w:lang w:eastAsia="en-US"/>
        </w:rPr>
        <w:t>λειτουργίας οξειδασών του ήπατος και των νεφρών προς τον υδροξυλιωμένο μεταβολίτη Ν-ακετυλ-</w:t>
      </w:r>
      <w:r w:rsidR="00BC020C" w:rsidRPr="002141F4">
        <w:rPr>
          <w:color w:val="auto"/>
          <w:sz w:val="22"/>
          <w:szCs w:val="22"/>
          <w:lang w:val="en-US" w:eastAsia="en-US"/>
        </w:rPr>
        <w:t>p</w:t>
      </w:r>
      <w:r w:rsidRPr="002141F4">
        <w:rPr>
          <w:color w:val="auto"/>
          <w:sz w:val="22"/>
          <w:szCs w:val="22"/>
          <w:lang w:eastAsia="en-US"/>
        </w:rPr>
        <w:t>-βενζοκινον</w:t>
      </w:r>
      <w:r w:rsidR="00B35B9D" w:rsidRPr="002141F4">
        <w:rPr>
          <w:color w:val="auto"/>
          <w:sz w:val="22"/>
          <w:szCs w:val="22"/>
          <w:lang w:eastAsia="en-US"/>
        </w:rPr>
        <w:t>ι</w:t>
      </w:r>
      <w:r w:rsidRPr="002141F4">
        <w:rPr>
          <w:color w:val="auto"/>
          <w:sz w:val="22"/>
          <w:szCs w:val="22"/>
          <w:lang w:eastAsia="en-US"/>
        </w:rPr>
        <w:t>μίνη (</w:t>
      </w:r>
      <w:r w:rsidR="00B35B9D" w:rsidRPr="002141F4">
        <w:rPr>
          <w:color w:val="auto"/>
          <w:sz w:val="22"/>
          <w:szCs w:val="22"/>
          <w:lang w:eastAsia="en-US"/>
        </w:rPr>
        <w:t>NA</w:t>
      </w:r>
      <w:r w:rsidR="00B35B9D" w:rsidRPr="002141F4">
        <w:rPr>
          <w:color w:val="auto"/>
          <w:sz w:val="22"/>
          <w:szCs w:val="22"/>
          <w:lang w:val="en-US" w:eastAsia="en-US"/>
        </w:rPr>
        <w:t>P</w:t>
      </w:r>
      <w:r w:rsidR="00B35B9D" w:rsidRPr="002141F4">
        <w:rPr>
          <w:color w:val="auto"/>
          <w:sz w:val="22"/>
          <w:szCs w:val="22"/>
          <w:lang w:eastAsia="en-US"/>
        </w:rPr>
        <w:t>QI</w:t>
      </w:r>
      <w:r w:rsidRPr="002141F4">
        <w:rPr>
          <w:color w:val="auto"/>
          <w:sz w:val="22"/>
          <w:szCs w:val="22"/>
          <w:lang w:eastAsia="en-US"/>
        </w:rPr>
        <w:t xml:space="preserve">) που είναι τοξικός για τα κύτταρα αλλά, υπό τις συνιστώμενες δόσεις, αδρανοποιείται από τη γλουταθειόνη και αποβάλλεται συζευγμένος με μερκαπτοπουρίνη και κυστεΐνη. </w:t>
      </w:r>
    </w:p>
    <w:p w14:paraId="34C5F4EB" w14:textId="77777777" w:rsidR="005C5540" w:rsidRPr="002141F4" w:rsidRDefault="009349A7" w:rsidP="00FF6CD5">
      <w:pPr>
        <w:spacing w:line="360" w:lineRule="auto"/>
        <w:rPr>
          <w:szCs w:val="22"/>
        </w:rPr>
      </w:pPr>
      <w:r w:rsidRPr="002141F4">
        <w:rPr>
          <w:szCs w:val="22"/>
        </w:rPr>
        <w:t>Η μέση τιμή του χρόνου ημιζωής κατά την απέκκριση είναι 1-4 ώρες.</w:t>
      </w:r>
    </w:p>
    <w:p w14:paraId="2951A421" w14:textId="77777777" w:rsidR="009349A7" w:rsidRPr="002141F4" w:rsidRDefault="009349A7" w:rsidP="00FF6CD5">
      <w:pPr>
        <w:spacing w:line="360" w:lineRule="auto"/>
        <w:rPr>
          <w:szCs w:val="22"/>
        </w:rPr>
      </w:pPr>
    </w:p>
    <w:p w14:paraId="3C1247C7" w14:textId="77777777" w:rsidR="00E642A1" w:rsidRPr="002141F4" w:rsidRDefault="009349A7" w:rsidP="00FF6CD5">
      <w:pPr>
        <w:pStyle w:val="Default"/>
        <w:spacing w:line="360" w:lineRule="auto"/>
        <w:rPr>
          <w:color w:val="auto"/>
          <w:sz w:val="22"/>
          <w:szCs w:val="22"/>
          <w:lang w:eastAsia="en-US"/>
        </w:rPr>
      </w:pPr>
      <w:r w:rsidRPr="002141F4">
        <w:rPr>
          <w:color w:val="auto"/>
          <w:sz w:val="22"/>
          <w:szCs w:val="22"/>
          <w:u w:val="single"/>
          <w:lang w:eastAsia="en-US"/>
        </w:rPr>
        <w:t>Αποβολή</w:t>
      </w:r>
    </w:p>
    <w:p w14:paraId="24586334" w14:textId="2DE9EEC8" w:rsidR="009349A7" w:rsidRPr="002141F4" w:rsidRDefault="00B35B9D" w:rsidP="00FF6CD5">
      <w:pPr>
        <w:pStyle w:val="Default"/>
        <w:spacing w:line="360" w:lineRule="auto"/>
        <w:rPr>
          <w:color w:val="auto"/>
          <w:sz w:val="22"/>
          <w:szCs w:val="22"/>
          <w:lang w:eastAsia="en-US"/>
        </w:rPr>
      </w:pPr>
      <w:r w:rsidRPr="002141F4">
        <w:rPr>
          <w:color w:val="auto"/>
          <w:sz w:val="22"/>
          <w:szCs w:val="22"/>
          <w:lang w:eastAsia="en-US"/>
        </w:rPr>
        <w:t>Οι μεταβολίτες της παρακεταμόλης αποβάλλονται κυρίως με τα ούρα. Στους ενήλικες, το 90% της προσληφθείσας δόσης αποβάλλεται σε 24 ώρες μέσω των νεφρών κυρίως ως γλυκουρονίδια (κατά προσέγγιση 60%) και ως θει</w:t>
      </w:r>
      <w:r w:rsidR="00FA47FB">
        <w:rPr>
          <w:color w:val="auto"/>
          <w:sz w:val="22"/>
          <w:szCs w:val="22"/>
          <w:lang w:eastAsia="en-US"/>
        </w:rPr>
        <w:t>ι</w:t>
      </w:r>
      <w:r w:rsidRPr="002141F4">
        <w:rPr>
          <w:color w:val="auto"/>
          <w:sz w:val="22"/>
          <w:szCs w:val="22"/>
          <w:lang w:eastAsia="en-US"/>
        </w:rPr>
        <w:t>κά παράγωγα σύζευξης (κατά προσέγγιση 30%).</w:t>
      </w:r>
      <w:r w:rsidR="009349A7" w:rsidRPr="002141F4">
        <w:rPr>
          <w:color w:val="auto"/>
          <w:sz w:val="22"/>
          <w:szCs w:val="22"/>
          <w:lang w:eastAsia="en-US"/>
        </w:rPr>
        <w:t xml:space="preserve"> </w:t>
      </w:r>
    </w:p>
    <w:p w14:paraId="6DE2876C" w14:textId="77777777"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t xml:space="preserve">Λιγότερο από 5% αποβάλλεται αμετάβλητο. </w:t>
      </w:r>
    </w:p>
    <w:p w14:paraId="267229A8" w14:textId="027A3325" w:rsidR="005C5540" w:rsidRPr="002141F4" w:rsidRDefault="009349A7" w:rsidP="00FF6CD5">
      <w:pPr>
        <w:pStyle w:val="Default"/>
        <w:spacing w:line="360" w:lineRule="auto"/>
        <w:rPr>
          <w:color w:val="auto"/>
          <w:sz w:val="22"/>
          <w:szCs w:val="22"/>
          <w:lang w:eastAsia="en-US"/>
        </w:rPr>
      </w:pPr>
      <w:r w:rsidRPr="002141F4">
        <w:rPr>
          <w:color w:val="auto"/>
          <w:sz w:val="22"/>
          <w:szCs w:val="22"/>
          <w:lang w:eastAsia="en-US"/>
        </w:rPr>
        <w:t>Ο χρόνος ημιζωής της αποβολής είναι περίπου 2 ώρες.</w:t>
      </w:r>
    </w:p>
    <w:p w14:paraId="04B4C968" w14:textId="77777777" w:rsidR="009349A7" w:rsidRPr="002141F4" w:rsidRDefault="009349A7" w:rsidP="00FF6CD5">
      <w:pPr>
        <w:pStyle w:val="Default"/>
        <w:spacing w:line="360" w:lineRule="auto"/>
        <w:rPr>
          <w:color w:val="auto"/>
          <w:sz w:val="22"/>
          <w:szCs w:val="22"/>
          <w:lang w:eastAsia="en-US"/>
        </w:rPr>
      </w:pPr>
    </w:p>
    <w:p w14:paraId="269F572D" w14:textId="77777777" w:rsidR="004A7783" w:rsidRPr="002141F4" w:rsidRDefault="00B35B9D" w:rsidP="00FF6CD5">
      <w:pPr>
        <w:spacing w:line="360" w:lineRule="auto"/>
        <w:rPr>
          <w:noProof/>
          <w:szCs w:val="22"/>
          <w:u w:val="single"/>
        </w:rPr>
      </w:pPr>
      <w:r w:rsidRPr="002141F4">
        <w:rPr>
          <w:szCs w:val="22"/>
          <w:u w:val="single"/>
        </w:rPr>
        <w:t>Ειδικοί πληθυσμοί</w:t>
      </w:r>
    </w:p>
    <w:p w14:paraId="49E01C42" w14:textId="77777777" w:rsidR="00E642A1" w:rsidRPr="002141F4" w:rsidRDefault="009349A7" w:rsidP="00FF6CD5">
      <w:pPr>
        <w:spacing w:line="360" w:lineRule="auto"/>
        <w:rPr>
          <w:noProof/>
          <w:szCs w:val="22"/>
        </w:rPr>
      </w:pPr>
      <w:r w:rsidRPr="006142E0">
        <w:rPr>
          <w:szCs w:val="22"/>
          <w:u w:val="single"/>
        </w:rPr>
        <w:t>Νεφρική ανεπάρκεια</w:t>
      </w:r>
    </w:p>
    <w:p w14:paraId="35A8F1AF" w14:textId="2508C6AB" w:rsidR="005C5540" w:rsidRPr="002141F4" w:rsidRDefault="009349A7" w:rsidP="00FF6CD5">
      <w:pPr>
        <w:spacing w:line="360" w:lineRule="auto"/>
        <w:rPr>
          <w:szCs w:val="22"/>
        </w:rPr>
      </w:pPr>
      <w:r w:rsidRPr="002141F4">
        <w:rPr>
          <w:szCs w:val="22"/>
        </w:rPr>
        <w:t>Σε</w:t>
      </w:r>
      <w:r w:rsidR="00B8450E" w:rsidRPr="002141F4">
        <w:rPr>
          <w:szCs w:val="22"/>
        </w:rPr>
        <w:t xml:space="preserve"> περίπτωση κάθαρσης κρεατινίνης </w:t>
      </w:r>
      <w:r w:rsidRPr="002141F4">
        <w:rPr>
          <w:szCs w:val="22"/>
        </w:rPr>
        <w:t>&lt;10</w:t>
      </w:r>
      <w:r w:rsidR="00B8450E" w:rsidRPr="002141F4">
        <w:rPr>
          <w:szCs w:val="22"/>
        </w:rPr>
        <w:t xml:space="preserve"> </w:t>
      </w:r>
      <w:r w:rsidRPr="002141F4">
        <w:rPr>
          <w:szCs w:val="22"/>
        </w:rPr>
        <w:t>m</w:t>
      </w:r>
      <w:r w:rsidR="006B40D4" w:rsidRPr="002141F4">
        <w:rPr>
          <w:szCs w:val="22"/>
          <w:lang w:val="en-US"/>
        </w:rPr>
        <w:t>L</w:t>
      </w:r>
      <w:r w:rsidR="00FA47FB">
        <w:rPr>
          <w:szCs w:val="22"/>
        </w:rPr>
        <w:t>/</w:t>
      </w:r>
      <w:r w:rsidRPr="002141F4">
        <w:rPr>
          <w:szCs w:val="22"/>
        </w:rPr>
        <w:t>min, η αποβολή της παρακεταμόλης και των μεταβολιτών της επιβραδύνεται.</w:t>
      </w:r>
    </w:p>
    <w:p w14:paraId="2D4C9B05" w14:textId="5CBA58C0" w:rsidR="006B40D4" w:rsidRPr="002141F4" w:rsidRDefault="006B40D4" w:rsidP="00FF6CD5">
      <w:pPr>
        <w:widowControl/>
        <w:spacing w:line="360" w:lineRule="auto"/>
        <w:rPr>
          <w:szCs w:val="22"/>
          <w:u w:val="single"/>
          <w:lang w:eastAsia="el-GR"/>
        </w:rPr>
      </w:pPr>
      <w:r w:rsidRPr="002141F4">
        <w:rPr>
          <w:szCs w:val="22"/>
          <w:lang w:eastAsia="el-GR"/>
        </w:rPr>
        <w:t>Για το γλυκουρονίδιο και τα θει</w:t>
      </w:r>
      <w:r w:rsidR="004E1D99">
        <w:rPr>
          <w:szCs w:val="22"/>
          <w:lang w:eastAsia="el-GR"/>
        </w:rPr>
        <w:t>ι</w:t>
      </w:r>
      <w:r w:rsidRPr="002141F4">
        <w:rPr>
          <w:szCs w:val="22"/>
          <w:lang w:eastAsia="el-GR"/>
        </w:rPr>
        <w:t>κά παράγωγα σύζευξης, ο ρυθμός αποβολής είναι βραδύτερος σε άτομα με σοβαρή νεφρική δυσλειτουργία σε σύγκριση με υγιή άτομα. Το ελάχιστο διάστημα μεταξύ κάθε χορήγησης είναι 6 ή 8 ώρες, όταν χορηγείται παρακεταμόλη σε αυτούς τους ασθενείς.</w:t>
      </w:r>
    </w:p>
    <w:p w14:paraId="6EE3DD7D" w14:textId="77777777" w:rsidR="004A7783" w:rsidRPr="002141F4" w:rsidRDefault="004A7783" w:rsidP="00FF6CD5">
      <w:pPr>
        <w:spacing w:line="360" w:lineRule="auto"/>
        <w:rPr>
          <w:noProof/>
          <w:szCs w:val="22"/>
          <w:u w:val="single"/>
        </w:rPr>
      </w:pPr>
    </w:p>
    <w:p w14:paraId="36B4F9F9" w14:textId="77777777" w:rsidR="00E642A1" w:rsidRPr="002141F4" w:rsidRDefault="009349A7" w:rsidP="00FF6CD5">
      <w:pPr>
        <w:spacing w:line="360" w:lineRule="auto"/>
        <w:rPr>
          <w:noProof/>
          <w:szCs w:val="22"/>
        </w:rPr>
      </w:pPr>
      <w:r w:rsidRPr="006142E0">
        <w:rPr>
          <w:szCs w:val="22"/>
          <w:u w:val="single"/>
        </w:rPr>
        <w:t>Ηπατική ανεπάρκεια</w:t>
      </w:r>
    </w:p>
    <w:p w14:paraId="57E69F25" w14:textId="73EBAB4B" w:rsidR="009349A7" w:rsidRPr="002141F4" w:rsidRDefault="009349A7" w:rsidP="00FF6CD5">
      <w:pPr>
        <w:spacing w:line="360" w:lineRule="auto"/>
        <w:rPr>
          <w:szCs w:val="22"/>
        </w:rPr>
      </w:pPr>
      <w:r w:rsidRPr="002141F4">
        <w:rPr>
          <w:szCs w:val="22"/>
        </w:rPr>
        <w:t xml:space="preserve">Σύμφωνα με τα </w:t>
      </w:r>
      <w:r w:rsidR="005674BF" w:rsidRPr="002141F4">
        <w:rPr>
          <w:szCs w:val="22"/>
        </w:rPr>
        <w:t>νεότερα</w:t>
      </w:r>
      <w:r w:rsidRPr="002141F4">
        <w:rPr>
          <w:szCs w:val="22"/>
        </w:rPr>
        <w:t xml:space="preserve"> δεδομένα</w:t>
      </w:r>
      <w:r w:rsidR="00FA47FB">
        <w:rPr>
          <w:szCs w:val="22"/>
        </w:rPr>
        <w:t xml:space="preserve">, </w:t>
      </w:r>
      <w:r w:rsidRPr="002141F4">
        <w:rPr>
          <w:szCs w:val="22"/>
        </w:rPr>
        <w:t>δεν φαίνεται να επηρεάζει ιδιαίτερα το</w:t>
      </w:r>
      <w:r w:rsidR="00FA47FB">
        <w:rPr>
          <w:szCs w:val="22"/>
        </w:rPr>
        <w:t>ν</w:t>
      </w:r>
      <w:r w:rsidRPr="002141F4">
        <w:rPr>
          <w:szCs w:val="22"/>
        </w:rPr>
        <w:t xml:space="preserve"> μεταβολισμό της παρακεταμόλης.</w:t>
      </w:r>
      <w:r w:rsidR="000B30D5" w:rsidRPr="002141F4">
        <w:rPr>
          <w:szCs w:val="22"/>
          <w:lang w:eastAsia="zh-CN"/>
        </w:rPr>
        <w:t xml:space="preserve"> Δεν υπάρχει καμία αντένδειξη για τη χρήση της παρακεταμόλης σε θεραπευτικές δόσεις σε ασθενείς με χρόνια σταθερή ηπατική νόσο.</w:t>
      </w:r>
    </w:p>
    <w:p w14:paraId="4574388A" w14:textId="33174B84" w:rsidR="006B40D4" w:rsidRPr="006142E0" w:rsidRDefault="006B40D4" w:rsidP="00FF6CD5">
      <w:pPr>
        <w:widowControl/>
        <w:spacing w:line="360" w:lineRule="auto"/>
        <w:rPr>
          <w:szCs w:val="22"/>
          <w:u w:val="single"/>
        </w:rPr>
      </w:pPr>
      <w:r w:rsidRPr="002141F4">
        <w:rPr>
          <w:szCs w:val="22"/>
          <w:lang w:eastAsia="el-GR"/>
        </w:rPr>
        <w:t>Ορισμένες κλινικές δοκιμές έχουν καταδείξει ένα</w:t>
      </w:r>
      <w:r w:rsidR="00FA47FB">
        <w:rPr>
          <w:szCs w:val="22"/>
          <w:lang w:eastAsia="el-GR"/>
        </w:rPr>
        <w:t>ν</w:t>
      </w:r>
      <w:r w:rsidRPr="002141F4">
        <w:rPr>
          <w:szCs w:val="22"/>
          <w:lang w:eastAsia="el-GR"/>
        </w:rPr>
        <w:t xml:space="preserve"> μετρίως επηρεασμένο μεταβολισμό της παρακεταμόλης σε ασθενείς με χρόνια ηπατική δυσλειτουργία, συμπεριλαμβανομέν</w:t>
      </w:r>
      <w:r w:rsidR="00FA47FB">
        <w:rPr>
          <w:szCs w:val="22"/>
          <w:lang w:eastAsia="el-GR"/>
        </w:rPr>
        <w:t>ης</w:t>
      </w:r>
      <w:r w:rsidRPr="002141F4">
        <w:rPr>
          <w:szCs w:val="22"/>
          <w:lang w:eastAsia="el-GR"/>
        </w:rPr>
        <w:t xml:space="preserve"> της αλκοολικής κίρρωσης, όπως φαίνεται από τις αυξημένες συγκεντρώσεις παρακεταμόλης στο πλάσμα και τον μεγαλύτερο χρόνο ημίσειας ζωής της αποβολής. Στις αναφορές αυτές, ο αυξημένος χρόνος ημιζωής της παρακεταμόλης στο πλάσμα συσχετίστηκε με τη μειωμένη ικανότητα μεταβολισμού της παρακεταμόλης στο ήπαρ. Κατά συνέπεια, η παρακεταμόλη πρέπει να χρησιμοποιείται με προσοχή σε ασθενείς με ηπατική δυσλειτουργία και αντενδείκνυται όταν υπάρχει μη αντιρροπούμενη ενεργή νόσος, ιδιαίτερα αλκοολική ηπατίτιδα, εξαιτίας της επαγωγής του CYP 2Ε1, η οποία οδηγεί σε αυξημένο σχηματισμό του ηπατοτοξικού μεταβολίτη της παρακεταμόλης.</w:t>
      </w:r>
    </w:p>
    <w:p w14:paraId="16A9E7C4" w14:textId="77777777" w:rsidR="009349A7" w:rsidRPr="002141F4" w:rsidRDefault="009349A7" w:rsidP="00FF6CD5">
      <w:pPr>
        <w:spacing w:line="360" w:lineRule="auto"/>
        <w:rPr>
          <w:i/>
          <w:noProof/>
          <w:szCs w:val="22"/>
        </w:rPr>
      </w:pPr>
    </w:p>
    <w:p w14:paraId="0F2D17AF" w14:textId="77777777" w:rsidR="009349A7" w:rsidRPr="002141F4" w:rsidRDefault="009349A7" w:rsidP="00FF6CD5">
      <w:pPr>
        <w:spacing w:line="360" w:lineRule="auto"/>
        <w:rPr>
          <w:noProof/>
          <w:szCs w:val="22"/>
          <w:u w:val="single"/>
        </w:rPr>
      </w:pPr>
      <w:r w:rsidRPr="002141F4">
        <w:rPr>
          <w:noProof/>
          <w:szCs w:val="22"/>
          <w:u w:val="single"/>
        </w:rPr>
        <w:t>Ηλικιωμένα άτομα</w:t>
      </w:r>
    </w:p>
    <w:p w14:paraId="4FF24102" w14:textId="77777777" w:rsidR="009349A7" w:rsidRPr="002141F4" w:rsidRDefault="009349A7" w:rsidP="00FF6CD5">
      <w:pPr>
        <w:pStyle w:val="Default"/>
        <w:spacing w:line="360" w:lineRule="auto"/>
        <w:rPr>
          <w:color w:val="auto"/>
          <w:sz w:val="22"/>
          <w:szCs w:val="22"/>
          <w:lang w:eastAsia="en-US"/>
        </w:rPr>
      </w:pPr>
      <w:r w:rsidRPr="002141F4">
        <w:rPr>
          <w:color w:val="auto"/>
          <w:sz w:val="22"/>
          <w:szCs w:val="22"/>
          <w:lang w:eastAsia="en-US"/>
        </w:rPr>
        <w:lastRenderedPageBreak/>
        <w:t xml:space="preserve">Η φαρμακοκινητική, η δυνατότητα σύνδεσης και ο μεταβολισμός της παρακεταμόλης μεταβάλλονται ελαφρά ή και καθόλου σε </w:t>
      </w:r>
      <w:r w:rsidRPr="002141F4">
        <w:rPr>
          <w:color w:val="auto"/>
          <w:sz w:val="22"/>
          <w:szCs w:val="22"/>
        </w:rPr>
        <w:t>ηλικιωμένα άτομα. Δεν απαιτείται συνήθως προσαρμογή της δόσης γι</w:t>
      </w:r>
      <w:r w:rsidR="00525884" w:rsidRPr="002141F4">
        <w:rPr>
          <w:color w:val="auto"/>
          <w:sz w:val="22"/>
          <w:szCs w:val="22"/>
        </w:rPr>
        <w:t>α</w:t>
      </w:r>
      <w:r w:rsidRPr="002141F4">
        <w:rPr>
          <w:color w:val="auto"/>
          <w:sz w:val="22"/>
          <w:szCs w:val="22"/>
        </w:rPr>
        <w:t xml:space="preserve"> αυτόν τον πληθυσμό.</w:t>
      </w:r>
    </w:p>
    <w:p w14:paraId="1BB4B88E" w14:textId="77777777" w:rsidR="009349A7" w:rsidRPr="002141F4" w:rsidRDefault="009349A7" w:rsidP="00FF6CD5">
      <w:pPr>
        <w:spacing w:line="360" w:lineRule="auto"/>
        <w:rPr>
          <w:i/>
          <w:noProof/>
          <w:szCs w:val="22"/>
        </w:rPr>
      </w:pPr>
    </w:p>
    <w:p w14:paraId="7F18D65B" w14:textId="77777777" w:rsidR="009349A7" w:rsidRPr="002141F4" w:rsidRDefault="009349A7" w:rsidP="00FF6CD5">
      <w:pPr>
        <w:spacing w:line="360" w:lineRule="auto"/>
        <w:rPr>
          <w:noProof/>
          <w:szCs w:val="22"/>
          <w:u w:val="single"/>
        </w:rPr>
      </w:pPr>
      <w:r w:rsidRPr="002141F4">
        <w:rPr>
          <w:noProof/>
          <w:szCs w:val="22"/>
          <w:u w:val="single"/>
        </w:rPr>
        <w:t>Νεογνά, βρέφη και παιδιά</w:t>
      </w:r>
    </w:p>
    <w:p w14:paraId="76E458CA" w14:textId="77777777" w:rsidR="003D50C8" w:rsidRPr="002141F4" w:rsidRDefault="003D50C8" w:rsidP="00FF6CD5">
      <w:pPr>
        <w:pStyle w:val="Default"/>
        <w:spacing w:line="360" w:lineRule="auto"/>
        <w:rPr>
          <w:color w:val="auto"/>
          <w:sz w:val="22"/>
          <w:szCs w:val="22"/>
          <w:lang w:eastAsia="en-US"/>
        </w:rPr>
      </w:pPr>
      <w:r w:rsidRPr="002141F4">
        <w:rPr>
          <w:color w:val="auto"/>
          <w:sz w:val="22"/>
          <w:szCs w:val="22"/>
          <w:lang w:eastAsia="en-US"/>
        </w:rPr>
        <w:t xml:space="preserve">Οι φαρμακοκινητικές παράμετροι της παρακεταμόλης που παρατηρήθηκαν σε βρέφη και παιδιά είναι παρόμοιες με εκείνες που παρατηρήθηκαν σε ενήλικες, εκτός από την ημιπερίοδο ζωής πλάσματος, που είναι λίγο βραχύτερη (περίπου 2 ώρες) από εκείνη των ενηλίκων. Στα νεογνά, η ημιπερίοδος ζωής είναι μεγαλύτερη από εκείνη των βρεφών (περίπου 3,5 ώρες). </w:t>
      </w:r>
    </w:p>
    <w:p w14:paraId="312F47C7" w14:textId="77777777" w:rsidR="003D50C8" w:rsidRPr="002141F4" w:rsidRDefault="003D50C8" w:rsidP="00FF6CD5">
      <w:pPr>
        <w:pStyle w:val="Default"/>
        <w:spacing w:line="360" w:lineRule="auto"/>
        <w:rPr>
          <w:color w:val="auto"/>
          <w:sz w:val="22"/>
          <w:szCs w:val="22"/>
          <w:lang w:eastAsia="en-US"/>
        </w:rPr>
      </w:pPr>
      <w:r w:rsidRPr="002141F4">
        <w:rPr>
          <w:color w:val="auto"/>
          <w:sz w:val="22"/>
          <w:szCs w:val="22"/>
          <w:lang w:eastAsia="en-US"/>
        </w:rPr>
        <w:t>Νεογνά, βρέφη και παιδιά ηλικίας έως 10 ετών απεκκρίνουν σημαντικά λιγότερα γλυκουρονίδια και περισσότερα συζευγμένα θειικά σε σχέση με τους ενήλικες. Η συνολική απέκκριση της παρακεταμόλης και των μεταβολιτών της είναι η ίδια για όλες τις ηλικίες.</w:t>
      </w:r>
    </w:p>
    <w:p w14:paraId="7DE163A6" w14:textId="77777777" w:rsidR="009349A7" w:rsidRPr="002141F4" w:rsidRDefault="009349A7" w:rsidP="00FF6CD5">
      <w:pPr>
        <w:spacing w:line="360" w:lineRule="auto"/>
        <w:rPr>
          <w:iCs/>
          <w:noProof/>
          <w:szCs w:val="22"/>
        </w:rPr>
      </w:pPr>
    </w:p>
    <w:p w14:paraId="60316A49" w14:textId="12068527" w:rsidR="001A4D28" w:rsidRPr="00E30D83" w:rsidRDefault="00CA19C2" w:rsidP="001506AC">
      <w:pPr>
        <w:pStyle w:val="Default"/>
        <w:spacing w:line="360" w:lineRule="auto"/>
        <w:jc w:val="both"/>
        <w:rPr>
          <w:color w:val="auto"/>
          <w:sz w:val="22"/>
          <w:szCs w:val="22"/>
          <w:lang w:eastAsia="en-US"/>
        </w:rPr>
      </w:pPr>
      <w:r w:rsidRPr="00E30D83">
        <w:rPr>
          <w:sz w:val="22"/>
          <w:szCs w:val="22"/>
        </w:rPr>
        <w:t>Μί</w:t>
      </w:r>
      <w:r w:rsidRPr="00E30D83">
        <w:rPr>
          <w:color w:val="auto"/>
          <w:sz w:val="22"/>
          <w:szCs w:val="22"/>
          <w:lang w:eastAsia="en-US"/>
        </w:rPr>
        <w:t>α τυχαιοποιημένη, διπλ</w:t>
      </w:r>
      <w:r w:rsidR="00DD6D41" w:rsidRPr="00E30D83">
        <w:rPr>
          <w:szCs w:val="22"/>
        </w:rPr>
        <w:t>ά</w:t>
      </w:r>
      <w:r w:rsidR="002141F4" w:rsidRPr="00E30D83">
        <w:rPr>
          <w:color w:val="auto"/>
          <w:sz w:val="22"/>
          <w:szCs w:val="22"/>
          <w:lang w:eastAsia="en-US"/>
        </w:rPr>
        <w:t xml:space="preserve"> </w:t>
      </w:r>
      <w:r w:rsidRPr="00E30D83">
        <w:rPr>
          <w:color w:val="auto"/>
          <w:sz w:val="22"/>
          <w:szCs w:val="22"/>
          <w:lang w:eastAsia="en-US"/>
        </w:rPr>
        <w:t xml:space="preserve">τυφλή, πολυκεντρική </w:t>
      </w:r>
      <w:r w:rsidRPr="00E30D83">
        <w:rPr>
          <w:sz w:val="22"/>
          <w:szCs w:val="22"/>
        </w:rPr>
        <w:t>μελέτη περιελάμβανε</w:t>
      </w:r>
      <w:r w:rsidRPr="00E30D83">
        <w:rPr>
          <w:color w:val="auto"/>
          <w:sz w:val="22"/>
          <w:szCs w:val="22"/>
          <w:lang w:eastAsia="en-US"/>
        </w:rPr>
        <w:t xml:space="preserve"> </w:t>
      </w:r>
      <w:r w:rsidR="00E30D83" w:rsidRPr="00E30D83">
        <w:rPr>
          <w:color w:val="auto"/>
          <w:sz w:val="22"/>
          <w:szCs w:val="22"/>
          <w:lang w:eastAsia="en-US"/>
        </w:rPr>
        <w:t>555</w:t>
      </w:r>
      <w:r w:rsidRPr="00E30D83">
        <w:rPr>
          <w:color w:val="auto"/>
          <w:sz w:val="22"/>
          <w:szCs w:val="22"/>
          <w:lang w:eastAsia="en-US"/>
        </w:rPr>
        <w:t xml:space="preserve"> εμπύρετα παιδιά ηλικίας</w:t>
      </w:r>
      <w:r w:rsidRPr="00E30D83">
        <w:rPr>
          <w:sz w:val="22"/>
          <w:szCs w:val="22"/>
        </w:rPr>
        <w:t xml:space="preserve"> από</w:t>
      </w:r>
      <w:r w:rsidRPr="00E30D83">
        <w:rPr>
          <w:color w:val="auto"/>
          <w:sz w:val="22"/>
          <w:szCs w:val="22"/>
          <w:lang w:eastAsia="en-US"/>
        </w:rPr>
        <w:t xml:space="preserve"> 6 μηνών έως </w:t>
      </w:r>
      <w:r w:rsidR="00E30D83" w:rsidRPr="00E30D83">
        <w:rPr>
          <w:color w:val="auto"/>
          <w:sz w:val="22"/>
          <w:szCs w:val="22"/>
          <w:lang w:eastAsia="en-US"/>
        </w:rPr>
        <w:t xml:space="preserve"> </w:t>
      </w:r>
      <w:r w:rsidRPr="00E30D83">
        <w:rPr>
          <w:color w:val="auto"/>
          <w:sz w:val="22"/>
          <w:szCs w:val="22"/>
          <w:lang w:eastAsia="en-US"/>
        </w:rPr>
        <w:t>6 ετών</w:t>
      </w:r>
      <w:r w:rsidR="00FE027C" w:rsidRPr="00E30D83">
        <w:rPr>
          <w:color w:val="auto"/>
          <w:sz w:val="22"/>
          <w:szCs w:val="22"/>
          <w:lang w:eastAsia="en-US"/>
        </w:rPr>
        <w:t xml:space="preserve"> </w:t>
      </w:r>
      <w:r w:rsidR="000C32A8" w:rsidRPr="00E30D83">
        <w:rPr>
          <w:color w:val="auto"/>
          <w:sz w:val="22"/>
          <w:szCs w:val="22"/>
          <w:lang w:eastAsia="en-US"/>
        </w:rPr>
        <w:t>στα οποία χορηγήθηκε</w:t>
      </w:r>
      <w:r w:rsidR="00FE027C" w:rsidRPr="00E30D83">
        <w:rPr>
          <w:color w:val="auto"/>
          <w:sz w:val="22"/>
          <w:szCs w:val="22"/>
          <w:lang w:eastAsia="en-US"/>
        </w:rPr>
        <w:t xml:space="preserve"> </w:t>
      </w:r>
      <w:r w:rsidR="00251F63" w:rsidRPr="00E30D83">
        <w:rPr>
          <w:color w:val="auto"/>
          <w:sz w:val="22"/>
          <w:szCs w:val="22"/>
          <w:lang w:eastAsia="en-US"/>
        </w:rPr>
        <w:t xml:space="preserve">σιρόπι </w:t>
      </w:r>
      <w:r w:rsidR="00FE027C" w:rsidRPr="00E30D83">
        <w:rPr>
          <w:color w:val="auto"/>
          <w:sz w:val="22"/>
          <w:szCs w:val="22"/>
          <w:lang w:eastAsia="en-US"/>
        </w:rPr>
        <w:t>παρακεταμόλη</w:t>
      </w:r>
      <w:r w:rsidR="00251F63" w:rsidRPr="00E30D83">
        <w:rPr>
          <w:color w:val="auto"/>
          <w:sz w:val="22"/>
          <w:szCs w:val="22"/>
          <w:lang w:eastAsia="en-US"/>
        </w:rPr>
        <w:t>ς</w:t>
      </w:r>
      <w:r w:rsidR="00FE027C" w:rsidRPr="00E30D83">
        <w:rPr>
          <w:color w:val="auto"/>
          <w:sz w:val="22"/>
          <w:szCs w:val="22"/>
          <w:lang w:eastAsia="en-US"/>
        </w:rPr>
        <w:t>, ιβουπροφαίνη</w:t>
      </w:r>
      <w:r w:rsidR="00251F63" w:rsidRPr="00E30D83">
        <w:rPr>
          <w:color w:val="auto"/>
          <w:sz w:val="22"/>
          <w:szCs w:val="22"/>
          <w:lang w:eastAsia="en-US"/>
        </w:rPr>
        <w:t>ς</w:t>
      </w:r>
      <w:r w:rsidR="00FE027C" w:rsidRPr="00E30D83">
        <w:rPr>
          <w:color w:val="auto"/>
          <w:sz w:val="22"/>
          <w:szCs w:val="22"/>
          <w:lang w:eastAsia="en-US"/>
        </w:rPr>
        <w:t xml:space="preserve"> ή διπυρόνη</w:t>
      </w:r>
      <w:r w:rsidR="00251F63" w:rsidRPr="00E30D83">
        <w:rPr>
          <w:color w:val="auto"/>
          <w:sz w:val="22"/>
          <w:szCs w:val="22"/>
          <w:lang w:eastAsia="en-US"/>
        </w:rPr>
        <w:t>ς</w:t>
      </w:r>
      <w:r w:rsidRPr="00E30D83">
        <w:rPr>
          <w:color w:val="auto"/>
          <w:sz w:val="22"/>
          <w:szCs w:val="22"/>
          <w:lang w:eastAsia="en-US"/>
        </w:rPr>
        <w:t xml:space="preserve">. Η θερμοκρασία κάθε παιδιού μετρήθηκε </w:t>
      </w:r>
      <w:r w:rsidRPr="00E30D83">
        <w:rPr>
          <w:sz w:val="22"/>
          <w:szCs w:val="22"/>
        </w:rPr>
        <w:t>αρχικά</w:t>
      </w:r>
      <w:r w:rsidR="002E0AD1" w:rsidRPr="00E30D83">
        <w:rPr>
          <w:szCs w:val="22"/>
        </w:rPr>
        <w:t xml:space="preserve">, </w:t>
      </w:r>
      <w:r w:rsidR="002E0AD1" w:rsidRPr="00E30D83">
        <w:rPr>
          <w:sz w:val="22"/>
          <w:szCs w:val="22"/>
        </w:rPr>
        <w:t>οπότε</w:t>
      </w:r>
      <w:r w:rsidRPr="00E30D83">
        <w:rPr>
          <w:sz w:val="22"/>
          <w:szCs w:val="22"/>
        </w:rPr>
        <w:t xml:space="preserve"> </w:t>
      </w:r>
      <w:r w:rsidR="000C32A8" w:rsidRPr="00E30D83">
        <w:rPr>
          <w:sz w:val="22"/>
          <w:szCs w:val="22"/>
        </w:rPr>
        <w:t xml:space="preserve">η τιμή αυτή </w:t>
      </w:r>
      <w:r w:rsidRPr="00E30D83">
        <w:rPr>
          <w:sz w:val="22"/>
          <w:szCs w:val="22"/>
        </w:rPr>
        <w:t xml:space="preserve">θεωρήθηκε </w:t>
      </w:r>
      <w:r w:rsidR="002E0AD1" w:rsidRPr="00E30D83">
        <w:rPr>
          <w:sz w:val="22"/>
          <w:szCs w:val="22"/>
        </w:rPr>
        <w:t xml:space="preserve">ως </w:t>
      </w:r>
      <w:r w:rsidRPr="00E30D83">
        <w:rPr>
          <w:sz w:val="22"/>
          <w:szCs w:val="22"/>
        </w:rPr>
        <w:t>η «αρχική τιμή»</w:t>
      </w:r>
      <w:r w:rsidR="002E0AD1" w:rsidRPr="00E30D83">
        <w:rPr>
          <w:sz w:val="22"/>
          <w:szCs w:val="22"/>
        </w:rPr>
        <w:t>,</w:t>
      </w:r>
      <w:r w:rsidRPr="00E30D83">
        <w:rPr>
          <w:color w:val="auto"/>
          <w:sz w:val="22"/>
          <w:szCs w:val="22"/>
          <w:lang w:eastAsia="en-US"/>
        </w:rPr>
        <w:t xml:space="preserve"> και στη συνέχεια</w:t>
      </w:r>
      <w:r w:rsidRPr="00E30D83">
        <w:rPr>
          <w:sz w:val="22"/>
          <w:szCs w:val="22"/>
        </w:rPr>
        <w:t xml:space="preserve"> μετά τη χορήγηση του υπό μελέτη φαρμάκου </w:t>
      </w:r>
      <w:r w:rsidRPr="00E30D83">
        <w:rPr>
          <w:color w:val="auto"/>
          <w:sz w:val="22"/>
          <w:szCs w:val="22"/>
          <w:lang w:eastAsia="en-US"/>
        </w:rPr>
        <w:t>στα 15 λεπτά, 30 λεπτά, 45 λεπτά, 1 ώρα, 1,5 ώρα και ανά</w:t>
      </w:r>
      <w:r w:rsidRPr="00E30D83">
        <w:rPr>
          <w:sz w:val="22"/>
          <w:szCs w:val="22"/>
        </w:rPr>
        <w:t xml:space="preserve"> μία</w:t>
      </w:r>
      <w:r w:rsidRPr="00E30D83">
        <w:rPr>
          <w:color w:val="auto"/>
          <w:sz w:val="22"/>
          <w:szCs w:val="22"/>
          <w:lang w:eastAsia="en-US"/>
        </w:rPr>
        <w:t xml:space="preserve"> ώρα έως και 6 ώρες. </w:t>
      </w:r>
      <w:r w:rsidRPr="00E30D83">
        <w:rPr>
          <w:sz w:val="22"/>
          <w:szCs w:val="22"/>
        </w:rPr>
        <w:t>Η ομάδα των ασθενών που έλαβα</w:t>
      </w:r>
      <w:r w:rsidR="00DD6D41" w:rsidRPr="00E30D83">
        <w:rPr>
          <w:szCs w:val="22"/>
        </w:rPr>
        <w:t>ν</w:t>
      </w:r>
      <w:r w:rsidRPr="00E30D83">
        <w:rPr>
          <w:sz w:val="22"/>
          <w:szCs w:val="22"/>
        </w:rPr>
        <w:t xml:space="preserve"> παρακεταμόλη αποτελούνταν από 210 παιδιά, </w:t>
      </w:r>
      <w:r w:rsidR="00CF7B36" w:rsidRPr="00E30D83">
        <w:rPr>
          <w:sz w:val="22"/>
          <w:szCs w:val="22"/>
        </w:rPr>
        <w:t>στα</w:t>
      </w:r>
      <w:r w:rsidRPr="00E30D83">
        <w:rPr>
          <w:sz w:val="22"/>
          <w:szCs w:val="22"/>
        </w:rPr>
        <w:t xml:space="preserve"> οποία χορηγήθηκε παρακεταμόλη </w:t>
      </w:r>
      <w:r w:rsidR="00CF7B36" w:rsidRPr="00E30D83">
        <w:rPr>
          <w:sz w:val="22"/>
          <w:szCs w:val="22"/>
        </w:rPr>
        <w:t>μέση</w:t>
      </w:r>
      <w:r w:rsidR="007F4DF5" w:rsidRPr="00E30D83">
        <w:rPr>
          <w:sz w:val="22"/>
          <w:szCs w:val="22"/>
        </w:rPr>
        <w:t>ς δόσης</w:t>
      </w:r>
      <w:r w:rsidR="00CF7B36" w:rsidRPr="00E30D83">
        <w:rPr>
          <w:sz w:val="22"/>
          <w:szCs w:val="22"/>
        </w:rPr>
        <w:t xml:space="preserve"> </w:t>
      </w:r>
      <w:r w:rsidRPr="00E30D83">
        <w:rPr>
          <w:sz w:val="22"/>
          <w:szCs w:val="22"/>
        </w:rPr>
        <w:t xml:space="preserve">12 mg/kg. Τα δεδομένα που καταγράφηκαν στα 15 λεπτά </w:t>
      </w:r>
      <w:r w:rsidR="002E0AD1" w:rsidRPr="00E30D83">
        <w:rPr>
          <w:sz w:val="22"/>
          <w:szCs w:val="22"/>
        </w:rPr>
        <w:t>στον πληθυσμό που παρακολουθήθηκε σύμφωνα με το πρωτόκολ</w:t>
      </w:r>
      <w:r w:rsidR="005377B3" w:rsidRPr="00E30D83">
        <w:rPr>
          <w:sz w:val="22"/>
          <w:szCs w:val="22"/>
        </w:rPr>
        <w:t>λ</w:t>
      </w:r>
      <w:r w:rsidR="002E0AD1" w:rsidRPr="00E30D83">
        <w:rPr>
          <w:sz w:val="22"/>
          <w:szCs w:val="22"/>
        </w:rPr>
        <w:t>ο (</w:t>
      </w:r>
      <w:r w:rsidR="005377B3" w:rsidRPr="00E30D83">
        <w:rPr>
          <w:sz w:val="22"/>
          <w:szCs w:val="22"/>
        </w:rPr>
        <w:t xml:space="preserve">πληθυσμός </w:t>
      </w:r>
      <w:r w:rsidR="002E0AD1" w:rsidRPr="00E30D83">
        <w:rPr>
          <w:sz w:val="22"/>
          <w:szCs w:val="22"/>
          <w:lang w:val="en-US"/>
        </w:rPr>
        <w:t>per</w:t>
      </w:r>
      <w:r w:rsidR="002E0AD1" w:rsidRPr="00E30D83">
        <w:rPr>
          <w:szCs w:val="22"/>
        </w:rPr>
        <w:t>-</w:t>
      </w:r>
      <w:r w:rsidR="002E0AD1" w:rsidRPr="00E30D83">
        <w:rPr>
          <w:sz w:val="22"/>
          <w:szCs w:val="22"/>
          <w:lang w:val="en-US"/>
        </w:rPr>
        <w:t>protocol</w:t>
      </w:r>
      <w:r w:rsidR="002E0AD1" w:rsidRPr="00E30D83">
        <w:rPr>
          <w:szCs w:val="22"/>
        </w:rPr>
        <w:t xml:space="preserve">, </w:t>
      </w:r>
      <w:r w:rsidR="002E0AD1" w:rsidRPr="00E30D83">
        <w:rPr>
          <w:sz w:val="22"/>
          <w:szCs w:val="22"/>
          <w:lang w:val="en-US"/>
        </w:rPr>
        <w:t>n</w:t>
      </w:r>
      <w:r w:rsidR="002E0AD1" w:rsidRPr="00E30D83">
        <w:rPr>
          <w:szCs w:val="22"/>
        </w:rPr>
        <w:t xml:space="preserve">=191) </w:t>
      </w:r>
      <w:r w:rsidRPr="00E30D83">
        <w:rPr>
          <w:sz w:val="22"/>
          <w:szCs w:val="22"/>
        </w:rPr>
        <w:t>έδειξαν μέση μείωση της θερμοκρασίας του σώματος κατά 0,2</w:t>
      </w:r>
      <w:r w:rsidR="007F4DF5" w:rsidRPr="00E30D83">
        <w:rPr>
          <w:sz w:val="22"/>
          <w:szCs w:val="22"/>
        </w:rPr>
        <w:t xml:space="preserve"> </w:t>
      </w:r>
      <w:r w:rsidRPr="00E30D83">
        <w:rPr>
          <w:sz w:val="22"/>
          <w:szCs w:val="22"/>
        </w:rPr>
        <w:t xml:space="preserve">°C από την αρχική τιμή. </w:t>
      </w:r>
      <w:r w:rsidR="007F4DF5" w:rsidRPr="00E30D83">
        <w:rPr>
          <w:color w:val="auto"/>
          <w:sz w:val="22"/>
          <w:szCs w:val="22"/>
          <w:lang w:eastAsia="en-US"/>
        </w:rPr>
        <w:t>Μ</w:t>
      </w:r>
      <w:r w:rsidR="000C32A8" w:rsidRPr="00E30D83">
        <w:rPr>
          <w:color w:val="auto"/>
          <w:sz w:val="22"/>
          <w:szCs w:val="22"/>
          <w:lang w:eastAsia="en-US"/>
        </w:rPr>
        <w:t>ί</w:t>
      </w:r>
      <w:r w:rsidR="001A4D28" w:rsidRPr="00E30D83">
        <w:rPr>
          <w:color w:val="auto"/>
          <w:sz w:val="22"/>
          <w:szCs w:val="22"/>
          <w:lang w:eastAsia="en-US"/>
        </w:rPr>
        <w:t>α άλλη τυχαιοποιημένη, διπλ</w:t>
      </w:r>
      <w:r w:rsidR="007F4DF5" w:rsidRPr="00E30D83">
        <w:rPr>
          <w:color w:val="auto"/>
          <w:sz w:val="22"/>
          <w:szCs w:val="22"/>
          <w:lang w:eastAsia="en-US"/>
        </w:rPr>
        <w:t xml:space="preserve">ά </w:t>
      </w:r>
      <w:r w:rsidR="001A4D28" w:rsidRPr="00E30D83">
        <w:rPr>
          <w:color w:val="auto"/>
          <w:sz w:val="22"/>
          <w:szCs w:val="22"/>
          <w:lang w:eastAsia="en-US"/>
        </w:rPr>
        <w:t xml:space="preserve">τυφλή, πολυκεντρική </w:t>
      </w:r>
      <w:r w:rsidR="00DB5FE9" w:rsidRPr="00E30D83">
        <w:rPr>
          <w:color w:val="auto"/>
          <w:sz w:val="22"/>
          <w:szCs w:val="22"/>
          <w:lang w:eastAsia="en-US"/>
        </w:rPr>
        <w:t xml:space="preserve">μελέτη περιελάμβανε </w:t>
      </w:r>
      <w:r w:rsidR="001A4D28" w:rsidRPr="00E30D83">
        <w:rPr>
          <w:color w:val="auto"/>
          <w:sz w:val="22"/>
          <w:szCs w:val="22"/>
          <w:lang w:eastAsia="en-US"/>
        </w:rPr>
        <w:t>συνολικά 316 εμπύρετα παιδιά ηλικίας 6 μηνών έως 12 ετών</w:t>
      </w:r>
      <w:r w:rsidR="007F4DF5" w:rsidRPr="00E30D83">
        <w:rPr>
          <w:color w:val="auto"/>
          <w:sz w:val="22"/>
          <w:szCs w:val="22"/>
          <w:lang w:eastAsia="en-US"/>
        </w:rPr>
        <w:t xml:space="preserve"> στα οποία χορηγήθηκε πόσιμο εναιώρημα παρακεταμόλης ή κετοπροφαίνης</w:t>
      </w:r>
      <w:r w:rsidR="001A4D28" w:rsidRPr="00E30D83">
        <w:rPr>
          <w:color w:val="auto"/>
          <w:sz w:val="22"/>
          <w:szCs w:val="22"/>
          <w:lang w:eastAsia="en-US"/>
        </w:rPr>
        <w:t xml:space="preserve">. Η τυμπανική θερμοκρασία κάθε παιδιού μετρήθηκε στην αρχή και στη συνέχεια ξανά </w:t>
      </w:r>
      <w:r w:rsidR="00DB5FE9" w:rsidRPr="00E30D83">
        <w:rPr>
          <w:color w:val="auto"/>
          <w:sz w:val="22"/>
          <w:szCs w:val="22"/>
          <w:lang w:eastAsia="en-US"/>
        </w:rPr>
        <w:t xml:space="preserve">στα </w:t>
      </w:r>
      <w:r w:rsidR="001A4D28" w:rsidRPr="00E30D83">
        <w:rPr>
          <w:color w:val="auto"/>
          <w:sz w:val="22"/>
          <w:szCs w:val="22"/>
          <w:lang w:eastAsia="en-US"/>
        </w:rPr>
        <w:t xml:space="preserve">15, 30, 60, 120, 180 και 240 λεπτά μετά από μία μόνο δόση του </w:t>
      </w:r>
      <w:r w:rsidR="00DB5FE9" w:rsidRPr="00E30D83">
        <w:rPr>
          <w:color w:val="auto"/>
          <w:sz w:val="22"/>
          <w:szCs w:val="22"/>
          <w:lang w:eastAsia="en-US"/>
        </w:rPr>
        <w:t>υπό μελέτη φαρμάκου</w:t>
      </w:r>
      <w:r w:rsidR="001A4D28" w:rsidRPr="00E30D83">
        <w:rPr>
          <w:color w:val="auto"/>
          <w:sz w:val="22"/>
          <w:szCs w:val="22"/>
          <w:lang w:eastAsia="en-US"/>
        </w:rPr>
        <w:t xml:space="preserve">. </w:t>
      </w:r>
      <w:r w:rsidR="00DB5FE9" w:rsidRPr="00E30D83">
        <w:rPr>
          <w:color w:val="auto"/>
          <w:sz w:val="22"/>
          <w:szCs w:val="22"/>
          <w:lang w:eastAsia="en-US"/>
        </w:rPr>
        <w:t xml:space="preserve">Η ομάδα των ασθενών που έλαβαν παρακεταμόλη αποτελούνταν από </w:t>
      </w:r>
      <w:r w:rsidR="001A4D28" w:rsidRPr="00E30D83">
        <w:rPr>
          <w:color w:val="auto"/>
          <w:sz w:val="22"/>
          <w:szCs w:val="22"/>
          <w:lang w:eastAsia="en-US"/>
        </w:rPr>
        <w:t xml:space="preserve">158 παιδιά (μέση αρχική θερμοκρασία 39,07 </w:t>
      </w:r>
      <w:r w:rsidR="00DB5FE9" w:rsidRPr="00E30D83">
        <w:rPr>
          <w:color w:val="auto"/>
          <w:sz w:val="22"/>
          <w:szCs w:val="22"/>
          <w:lang w:eastAsia="en-US"/>
        </w:rPr>
        <w:t>±</w:t>
      </w:r>
      <w:r w:rsidR="001A4D28" w:rsidRPr="00E30D83">
        <w:rPr>
          <w:color w:val="auto"/>
          <w:sz w:val="22"/>
          <w:szCs w:val="22"/>
          <w:lang w:eastAsia="en-US"/>
        </w:rPr>
        <w:t xml:space="preserve"> 0,50</w:t>
      </w:r>
      <w:r w:rsidR="007F4DF5" w:rsidRPr="00E30D83">
        <w:rPr>
          <w:color w:val="auto"/>
          <w:sz w:val="22"/>
          <w:szCs w:val="22"/>
          <w:lang w:eastAsia="en-US"/>
        </w:rPr>
        <w:t xml:space="preserve"> </w:t>
      </w:r>
      <w:r w:rsidR="007F4DF5" w:rsidRPr="00E30D83">
        <w:rPr>
          <w:sz w:val="22"/>
          <w:szCs w:val="22"/>
        </w:rPr>
        <w:t>°C</w:t>
      </w:r>
      <w:r w:rsidR="001A4D28" w:rsidRPr="00E30D83">
        <w:rPr>
          <w:color w:val="auto"/>
          <w:sz w:val="22"/>
          <w:szCs w:val="22"/>
          <w:lang w:eastAsia="en-US"/>
        </w:rPr>
        <w:t xml:space="preserve">), στα οποία </w:t>
      </w:r>
      <w:r w:rsidR="00DB5FE9" w:rsidRPr="00E30D83">
        <w:rPr>
          <w:color w:val="auto"/>
          <w:sz w:val="22"/>
          <w:szCs w:val="22"/>
          <w:lang w:eastAsia="en-US"/>
        </w:rPr>
        <w:t>χορηγήθηκ</w:t>
      </w:r>
      <w:r w:rsidR="007F4DF5" w:rsidRPr="00E30D83">
        <w:rPr>
          <w:color w:val="auto"/>
          <w:sz w:val="22"/>
          <w:szCs w:val="22"/>
          <w:lang w:eastAsia="en-US"/>
        </w:rPr>
        <w:t>αν</w:t>
      </w:r>
      <w:r w:rsidR="001A4D28" w:rsidRPr="00E30D83">
        <w:rPr>
          <w:color w:val="auto"/>
          <w:sz w:val="22"/>
          <w:szCs w:val="22"/>
          <w:lang w:eastAsia="en-US"/>
        </w:rPr>
        <w:t xml:space="preserve"> 15 mg/kg παρακεταμόλης. Τα δεδομένα δείχνουν </w:t>
      </w:r>
      <w:r w:rsidR="007F4DF5" w:rsidRPr="00E30D83">
        <w:rPr>
          <w:color w:val="auto"/>
          <w:sz w:val="22"/>
          <w:szCs w:val="22"/>
          <w:lang w:eastAsia="en-US"/>
        </w:rPr>
        <w:t>μείωση</w:t>
      </w:r>
      <w:r w:rsidR="001A4D28" w:rsidRPr="00E30D83">
        <w:rPr>
          <w:color w:val="auto"/>
          <w:sz w:val="22"/>
          <w:szCs w:val="22"/>
          <w:lang w:eastAsia="en-US"/>
        </w:rPr>
        <w:t xml:space="preserve"> στη θερμοκρασία</w:t>
      </w:r>
      <w:r w:rsidR="00D90545" w:rsidRPr="00E30D83">
        <w:rPr>
          <w:color w:val="auto"/>
          <w:sz w:val="22"/>
          <w:szCs w:val="22"/>
          <w:lang w:eastAsia="en-US"/>
        </w:rPr>
        <w:t xml:space="preserve"> του σώματος</w:t>
      </w:r>
      <w:r w:rsidR="001A4D28" w:rsidRPr="00E30D83">
        <w:rPr>
          <w:color w:val="auto"/>
          <w:sz w:val="22"/>
          <w:szCs w:val="22"/>
          <w:lang w:eastAsia="en-US"/>
        </w:rPr>
        <w:t xml:space="preserve"> </w:t>
      </w:r>
      <w:r w:rsidR="007F4DF5" w:rsidRPr="00E30D83">
        <w:rPr>
          <w:color w:val="auto"/>
          <w:sz w:val="22"/>
          <w:szCs w:val="22"/>
          <w:lang w:eastAsia="en-US"/>
        </w:rPr>
        <w:t>κατά</w:t>
      </w:r>
      <w:r w:rsidR="001A4D28" w:rsidRPr="00E30D83">
        <w:rPr>
          <w:color w:val="auto"/>
          <w:sz w:val="22"/>
          <w:szCs w:val="22"/>
          <w:lang w:eastAsia="en-US"/>
        </w:rPr>
        <w:t xml:space="preserve"> 0,33</w:t>
      </w:r>
      <w:r w:rsidR="007F4DF5" w:rsidRPr="00E30D83">
        <w:rPr>
          <w:color w:val="auto"/>
          <w:sz w:val="22"/>
          <w:szCs w:val="22"/>
          <w:lang w:eastAsia="en-US"/>
        </w:rPr>
        <w:t xml:space="preserve"> </w:t>
      </w:r>
      <w:r w:rsidR="001A4D28" w:rsidRPr="00E30D83">
        <w:rPr>
          <w:color w:val="auto"/>
          <w:sz w:val="22"/>
          <w:szCs w:val="22"/>
          <w:lang w:eastAsia="en-US"/>
        </w:rPr>
        <w:t>°C από την αρχική τιμή στο χρονικό σημείο των 15 λεπτών με</w:t>
      </w:r>
      <w:r w:rsidR="007F4DF5" w:rsidRPr="00E30D83">
        <w:rPr>
          <w:color w:val="auto"/>
          <w:sz w:val="22"/>
          <w:szCs w:val="22"/>
          <w:lang w:eastAsia="en-US"/>
        </w:rPr>
        <w:t>τά</w:t>
      </w:r>
      <w:r w:rsidR="001A4D28" w:rsidRPr="00E30D83">
        <w:rPr>
          <w:color w:val="auto"/>
          <w:sz w:val="22"/>
          <w:szCs w:val="22"/>
          <w:lang w:eastAsia="en-US"/>
        </w:rPr>
        <w:t xml:space="preserve"> τη </w:t>
      </w:r>
      <w:r w:rsidR="00D90545" w:rsidRPr="00E30D83">
        <w:rPr>
          <w:color w:val="auto"/>
          <w:sz w:val="22"/>
          <w:szCs w:val="22"/>
          <w:lang w:eastAsia="en-US"/>
        </w:rPr>
        <w:t xml:space="preserve">χορήγηση </w:t>
      </w:r>
      <w:r w:rsidR="001A4D28" w:rsidRPr="00E30D83">
        <w:rPr>
          <w:color w:val="auto"/>
          <w:sz w:val="22"/>
          <w:szCs w:val="22"/>
          <w:lang w:eastAsia="en-US"/>
        </w:rPr>
        <w:t>παρακεταμόλη</w:t>
      </w:r>
      <w:r w:rsidR="00D90545" w:rsidRPr="00E30D83">
        <w:rPr>
          <w:color w:val="auto"/>
          <w:sz w:val="22"/>
          <w:szCs w:val="22"/>
          <w:lang w:eastAsia="en-US"/>
        </w:rPr>
        <w:t>ς</w:t>
      </w:r>
      <w:r w:rsidR="001A4D28" w:rsidRPr="00E30D83">
        <w:rPr>
          <w:color w:val="auto"/>
          <w:sz w:val="22"/>
          <w:szCs w:val="22"/>
          <w:lang w:eastAsia="en-US"/>
        </w:rPr>
        <w:t xml:space="preserve">. </w:t>
      </w:r>
    </w:p>
    <w:p w14:paraId="62C7574C" w14:textId="65C5C3EB" w:rsidR="001A4D28" w:rsidRPr="002141F4" w:rsidRDefault="001A4D28" w:rsidP="001506AC">
      <w:pPr>
        <w:pStyle w:val="Default"/>
        <w:spacing w:line="360" w:lineRule="auto"/>
        <w:jc w:val="both"/>
        <w:rPr>
          <w:color w:val="auto"/>
          <w:sz w:val="22"/>
          <w:szCs w:val="22"/>
          <w:lang w:eastAsia="en-US"/>
        </w:rPr>
      </w:pPr>
      <w:r w:rsidRPr="00E30D83">
        <w:rPr>
          <w:color w:val="auto"/>
          <w:sz w:val="22"/>
          <w:szCs w:val="22"/>
          <w:lang w:eastAsia="en-US"/>
        </w:rPr>
        <w:t xml:space="preserve">Οι μελέτες που συζητήθηκαν υποδεικνύουν κλινικά σημαντική μείωση στον πυρετό </w:t>
      </w:r>
      <w:r w:rsidR="00B13A94" w:rsidRPr="00E30D83">
        <w:rPr>
          <w:color w:val="auto"/>
          <w:sz w:val="22"/>
          <w:szCs w:val="22"/>
          <w:lang w:eastAsia="en-US"/>
        </w:rPr>
        <w:t>(</w:t>
      </w:r>
      <w:r w:rsidR="00926F1C" w:rsidRPr="00E30D83">
        <w:rPr>
          <w:color w:val="auto"/>
          <w:sz w:val="22"/>
          <w:szCs w:val="22"/>
          <w:lang w:eastAsia="en-US"/>
        </w:rPr>
        <w:t>&gt;1 °C</w:t>
      </w:r>
      <w:r w:rsidR="00B13A94" w:rsidRPr="00E30D83">
        <w:rPr>
          <w:color w:val="auto"/>
          <w:sz w:val="22"/>
          <w:szCs w:val="22"/>
          <w:lang w:eastAsia="en-US"/>
        </w:rPr>
        <w:t>)</w:t>
      </w:r>
      <w:r w:rsidR="00926F1C" w:rsidRPr="00E30D83">
        <w:rPr>
          <w:color w:val="auto"/>
          <w:sz w:val="22"/>
          <w:szCs w:val="22"/>
          <w:lang w:eastAsia="en-US"/>
        </w:rPr>
        <w:t xml:space="preserve"> </w:t>
      </w:r>
      <w:r w:rsidR="00167F66" w:rsidRPr="00E30D83">
        <w:rPr>
          <w:color w:val="auto"/>
          <w:sz w:val="22"/>
          <w:szCs w:val="22"/>
          <w:lang w:eastAsia="en-US"/>
        </w:rPr>
        <w:t xml:space="preserve">μετά </w:t>
      </w:r>
      <w:r w:rsidR="007F4DF5" w:rsidRPr="00E30D83">
        <w:rPr>
          <w:color w:val="auto"/>
          <w:sz w:val="22"/>
          <w:szCs w:val="22"/>
          <w:lang w:eastAsia="en-US"/>
        </w:rPr>
        <w:t>α</w:t>
      </w:r>
      <w:r w:rsidR="00813E19" w:rsidRPr="00E30D83">
        <w:rPr>
          <w:color w:val="auto"/>
          <w:sz w:val="22"/>
          <w:szCs w:val="22"/>
          <w:lang w:eastAsia="en-US"/>
        </w:rPr>
        <w:t>πό περίπου 30-9</w:t>
      </w:r>
      <w:r w:rsidR="00167F66" w:rsidRPr="00E30D83">
        <w:rPr>
          <w:color w:val="auto"/>
          <w:sz w:val="22"/>
          <w:szCs w:val="22"/>
          <w:lang w:eastAsia="en-US"/>
        </w:rPr>
        <w:t xml:space="preserve">0 λεπτά </w:t>
      </w:r>
      <w:r w:rsidRPr="00E30D83">
        <w:rPr>
          <w:color w:val="auto"/>
          <w:sz w:val="22"/>
          <w:szCs w:val="22"/>
          <w:lang w:eastAsia="en-US"/>
        </w:rPr>
        <w:t>και ο μέγιστος ρυθμός μείωσης της θερμοκρασίας</w:t>
      </w:r>
      <w:r w:rsidR="00D90545" w:rsidRPr="00E30D83">
        <w:rPr>
          <w:color w:val="auto"/>
          <w:sz w:val="22"/>
          <w:szCs w:val="22"/>
          <w:lang w:eastAsia="en-US"/>
        </w:rPr>
        <w:t xml:space="preserve"> του σώματος</w:t>
      </w:r>
      <w:r w:rsidRPr="00E30D83">
        <w:rPr>
          <w:color w:val="auto"/>
          <w:sz w:val="22"/>
          <w:szCs w:val="22"/>
          <w:lang w:eastAsia="en-US"/>
        </w:rPr>
        <w:t xml:space="preserve"> παρατηρήθηκ</w:t>
      </w:r>
      <w:r w:rsidR="00167F66" w:rsidRPr="00E30D83">
        <w:rPr>
          <w:color w:val="auto"/>
          <w:sz w:val="22"/>
          <w:szCs w:val="22"/>
          <w:lang w:eastAsia="en-US"/>
        </w:rPr>
        <w:t>ε</w:t>
      </w:r>
      <w:r w:rsidRPr="00E30D83">
        <w:rPr>
          <w:color w:val="auto"/>
          <w:sz w:val="22"/>
          <w:szCs w:val="22"/>
          <w:lang w:eastAsia="en-US"/>
        </w:rPr>
        <w:t xml:space="preserve"> </w:t>
      </w:r>
      <w:r w:rsidR="00167F66" w:rsidRPr="00E30D83">
        <w:rPr>
          <w:color w:val="auto"/>
          <w:sz w:val="22"/>
          <w:szCs w:val="22"/>
          <w:lang w:eastAsia="en-US"/>
        </w:rPr>
        <w:t xml:space="preserve"> στα</w:t>
      </w:r>
      <w:r w:rsidRPr="00E30D83">
        <w:rPr>
          <w:color w:val="auto"/>
          <w:sz w:val="22"/>
          <w:szCs w:val="22"/>
          <w:lang w:eastAsia="en-US"/>
        </w:rPr>
        <w:t xml:space="preserve"> 180 λεπτ</w:t>
      </w:r>
      <w:r w:rsidR="00167F66" w:rsidRPr="00E30D83">
        <w:rPr>
          <w:color w:val="auto"/>
          <w:sz w:val="22"/>
          <w:szCs w:val="22"/>
          <w:lang w:eastAsia="en-US"/>
        </w:rPr>
        <w:t>ά</w:t>
      </w:r>
      <w:r w:rsidRPr="00E30D83">
        <w:rPr>
          <w:color w:val="auto"/>
          <w:sz w:val="22"/>
          <w:szCs w:val="22"/>
          <w:lang w:eastAsia="en-US"/>
        </w:rPr>
        <w:t>.</w:t>
      </w:r>
    </w:p>
    <w:p w14:paraId="146CE437" w14:textId="77777777" w:rsidR="008A05B0" w:rsidRPr="00E30D83" w:rsidRDefault="008A05B0" w:rsidP="001506AC">
      <w:pPr>
        <w:pStyle w:val="Default"/>
        <w:spacing w:line="360" w:lineRule="auto"/>
        <w:jc w:val="both"/>
        <w:rPr>
          <w:szCs w:val="22"/>
        </w:rPr>
      </w:pPr>
    </w:p>
    <w:p w14:paraId="307BD125" w14:textId="77777777" w:rsidR="00496809" w:rsidRPr="002141F4" w:rsidRDefault="00496809" w:rsidP="00FF6CD5">
      <w:pPr>
        <w:spacing w:line="360" w:lineRule="auto"/>
        <w:rPr>
          <w:szCs w:val="22"/>
        </w:rPr>
      </w:pPr>
      <w:r w:rsidRPr="002141F4">
        <w:rPr>
          <w:b/>
          <w:szCs w:val="22"/>
        </w:rPr>
        <w:t>5.3</w:t>
      </w:r>
      <w:r w:rsidRPr="002141F4">
        <w:rPr>
          <w:b/>
          <w:szCs w:val="22"/>
        </w:rPr>
        <w:tab/>
        <w:t>Προκλινικά δεδομένα για την ασφάλεια</w:t>
      </w:r>
    </w:p>
    <w:p w14:paraId="19135701" w14:textId="77777777" w:rsidR="00496809" w:rsidRPr="002141F4" w:rsidRDefault="00496809" w:rsidP="00FF6CD5">
      <w:pPr>
        <w:spacing w:line="360" w:lineRule="auto"/>
        <w:rPr>
          <w:szCs w:val="22"/>
        </w:rPr>
      </w:pPr>
    </w:p>
    <w:p w14:paraId="15FD7DAF" w14:textId="77777777" w:rsidR="009D293F" w:rsidRPr="002141F4" w:rsidRDefault="009D293F" w:rsidP="00FF6CD5">
      <w:pPr>
        <w:pStyle w:val="Default"/>
        <w:spacing w:line="360" w:lineRule="auto"/>
        <w:rPr>
          <w:color w:val="auto"/>
          <w:sz w:val="22"/>
          <w:szCs w:val="22"/>
          <w:lang w:eastAsia="en-US"/>
        </w:rPr>
      </w:pPr>
      <w:r w:rsidRPr="002141F4">
        <w:rPr>
          <w:color w:val="auto"/>
          <w:sz w:val="22"/>
          <w:szCs w:val="22"/>
          <w:lang w:eastAsia="en-US"/>
        </w:rPr>
        <w:t xml:space="preserve">Έχουν αξιολογηθεί οι επιδράσεις της παρακεταμόλης στη δίαιτα αρουραίων και ποντικών σε 0, 600, 3000 και 6000 ppm επί 2 έτη. Δεν υπήρξε ένδειξη καρκινογόνου δράσης της παρακεταμόλης σε αρσενικούς αρουραίους καθώς και σε αρσενικούς και θηλυκούς ποντικούς. Διφορούμενες ενδείξεις </w:t>
      </w:r>
      <w:r w:rsidRPr="002141F4">
        <w:rPr>
          <w:color w:val="auto"/>
          <w:sz w:val="22"/>
          <w:szCs w:val="22"/>
          <w:lang w:eastAsia="en-US"/>
        </w:rPr>
        <w:lastRenderedPageBreak/>
        <w:t xml:space="preserve">καρκινογόνου δράσης σημειώθηκαν σε θηλυκούς αρουραίους λόγω αυξημένης επίπτωσης μονοπύρηνης κυτταρικής λευχαιμίας. </w:t>
      </w:r>
    </w:p>
    <w:p w14:paraId="38CB5E85" w14:textId="77777777" w:rsidR="009C3CFC" w:rsidRPr="002141F4" w:rsidRDefault="009D293F" w:rsidP="00FF6CD5">
      <w:pPr>
        <w:spacing w:line="360" w:lineRule="auto"/>
        <w:rPr>
          <w:szCs w:val="22"/>
        </w:rPr>
      </w:pPr>
      <w:r w:rsidRPr="002141F4">
        <w:rPr>
          <w:szCs w:val="22"/>
        </w:rPr>
        <w:t>Η συγκριτική ανασκόπηση της βιβλιογραφίας για τη γονοτοξική και καρκινογόνο δράση της παρακεταμόλης έδειξε ότι οι γονοτοξικές επιδράσεις της παρακεταμόλης εμφανίζονται μόνο σε δοσολογίες άνω του συνιστώμενου εύρους, με αποτέλεσμα σοβαρές τοξικές επιδράσεις, συμπεριλαμβανομένων της έντονης τοξικότητας στο ήπαρ και το</w:t>
      </w:r>
      <w:r w:rsidR="00FA47FB">
        <w:rPr>
          <w:szCs w:val="22"/>
        </w:rPr>
        <w:t>ν</w:t>
      </w:r>
      <w:r w:rsidRPr="002141F4">
        <w:rPr>
          <w:szCs w:val="22"/>
        </w:rPr>
        <w:t xml:space="preserve"> μυελό των οστών. Στις θεραπευτικές δόσεις της παρακεταμόλης δεν υπερβαίνεται το όριο για την πρόκληση γονοτοξικότητας. Οι μελέτες σε ζώα δεν υπέδειξαν δυναμικό καρκινογένεσης σε μη ηπατοτοξικά επίπεδα δοσολογίας. Έχουν παρατηρηθεί ογκογόνες επιδράσεις της παρακεταμόλης σε παλαιότερες μελέτες, μόνον μετά από χορήγηση πολύ υψηλών, κυτταροτοξικών δόσεων.</w:t>
      </w:r>
    </w:p>
    <w:p w14:paraId="6CF5D3C7" w14:textId="77777777" w:rsidR="00A77628" w:rsidRPr="002141F4" w:rsidRDefault="00A77628" w:rsidP="00FF6CD5">
      <w:pPr>
        <w:widowControl/>
        <w:spacing w:line="360" w:lineRule="auto"/>
        <w:rPr>
          <w:szCs w:val="22"/>
          <w:lang w:eastAsia="zh-CN"/>
        </w:rPr>
      </w:pPr>
      <w:r w:rsidRPr="002141F4">
        <w:rPr>
          <w:szCs w:val="22"/>
          <w:lang w:eastAsia="zh-CN"/>
        </w:rPr>
        <w:t>Δεν υπάρχουν συμβατικές μελέτες για την αξιολόγηση της τοξικότητας στην αναπαραγωγή και την ανάπτυξη με τη χρήση των ισχυόντων αποδεκτών προτύπων.</w:t>
      </w:r>
    </w:p>
    <w:p w14:paraId="2DCA73BA" w14:textId="77777777" w:rsidR="00F92CC7" w:rsidRPr="002141F4" w:rsidRDefault="00F92CC7" w:rsidP="00FF6CD5">
      <w:pPr>
        <w:spacing w:line="360" w:lineRule="auto"/>
        <w:rPr>
          <w:szCs w:val="22"/>
        </w:rPr>
      </w:pPr>
    </w:p>
    <w:p w14:paraId="4AC678EB" w14:textId="77777777" w:rsidR="00496809" w:rsidRPr="002141F4" w:rsidRDefault="00496809" w:rsidP="00FF6CD5">
      <w:pPr>
        <w:spacing w:line="360" w:lineRule="auto"/>
        <w:rPr>
          <w:szCs w:val="22"/>
        </w:rPr>
      </w:pPr>
      <w:r w:rsidRPr="002141F4">
        <w:rPr>
          <w:b/>
          <w:szCs w:val="22"/>
        </w:rPr>
        <w:t>6.</w:t>
      </w:r>
      <w:r w:rsidRPr="002141F4">
        <w:rPr>
          <w:b/>
          <w:szCs w:val="22"/>
        </w:rPr>
        <w:tab/>
        <w:t>ΦΑΡΜΑΚΕΥΤΙΚΕΣ ΠΛΗΡΟΦΟΡΙΕΣ</w:t>
      </w:r>
    </w:p>
    <w:p w14:paraId="3B199AC0" w14:textId="77777777" w:rsidR="00496809" w:rsidRPr="002141F4" w:rsidRDefault="00496809" w:rsidP="00FF6CD5">
      <w:pPr>
        <w:pStyle w:val="Header"/>
        <w:tabs>
          <w:tab w:val="clear" w:pos="4153"/>
          <w:tab w:val="clear" w:pos="8306"/>
        </w:tabs>
        <w:spacing w:line="360" w:lineRule="auto"/>
        <w:rPr>
          <w:szCs w:val="22"/>
        </w:rPr>
      </w:pPr>
    </w:p>
    <w:p w14:paraId="6052873F" w14:textId="77777777" w:rsidR="00496809" w:rsidRPr="002141F4" w:rsidRDefault="00496809" w:rsidP="00FF6CD5">
      <w:pPr>
        <w:spacing w:line="360" w:lineRule="auto"/>
        <w:rPr>
          <w:szCs w:val="22"/>
        </w:rPr>
      </w:pPr>
      <w:r w:rsidRPr="002141F4">
        <w:rPr>
          <w:b/>
          <w:szCs w:val="22"/>
        </w:rPr>
        <w:t>6.1</w:t>
      </w:r>
      <w:r w:rsidRPr="002141F4">
        <w:rPr>
          <w:b/>
          <w:szCs w:val="22"/>
        </w:rPr>
        <w:tab/>
        <w:t>Κατάλογος εκδόχων</w:t>
      </w:r>
    </w:p>
    <w:p w14:paraId="591B7160" w14:textId="77777777" w:rsidR="00496809" w:rsidRPr="002141F4" w:rsidRDefault="00496809" w:rsidP="00FF6CD5">
      <w:pPr>
        <w:spacing w:line="360" w:lineRule="auto"/>
        <w:rPr>
          <w:szCs w:val="22"/>
        </w:rPr>
      </w:pPr>
    </w:p>
    <w:p w14:paraId="3FB0807B" w14:textId="05AAD646" w:rsidR="00A3381A" w:rsidRPr="00E30D83" w:rsidRDefault="00741442" w:rsidP="00FF6CD5">
      <w:pPr>
        <w:spacing w:line="360" w:lineRule="auto"/>
        <w:rPr>
          <w:szCs w:val="22"/>
        </w:rPr>
      </w:pPr>
      <w:r>
        <w:rPr>
          <w:szCs w:val="22"/>
        </w:rPr>
        <w:t>Υγρ</w:t>
      </w:r>
      <w:r w:rsidR="002311F2">
        <w:rPr>
          <w:szCs w:val="22"/>
        </w:rPr>
        <w:t>ή</w:t>
      </w:r>
      <w:r w:rsidRPr="00E30D83">
        <w:rPr>
          <w:szCs w:val="22"/>
        </w:rPr>
        <w:t xml:space="preserve"> </w:t>
      </w:r>
      <w:r w:rsidR="00A3381A" w:rsidRPr="002141F4">
        <w:rPr>
          <w:szCs w:val="22"/>
        </w:rPr>
        <w:t>σορβιτόλη</w:t>
      </w:r>
      <w:r w:rsidR="00E8327B" w:rsidRPr="00E30D83">
        <w:rPr>
          <w:szCs w:val="22"/>
        </w:rPr>
        <w:t xml:space="preserve"> (</w:t>
      </w:r>
      <w:r w:rsidR="009D293F" w:rsidRPr="00E30D83">
        <w:rPr>
          <w:szCs w:val="22"/>
        </w:rPr>
        <w:t>70%</w:t>
      </w:r>
      <w:r w:rsidR="007251EB" w:rsidRPr="00E30D83">
        <w:rPr>
          <w:szCs w:val="22"/>
        </w:rPr>
        <w:t>,</w:t>
      </w:r>
      <w:r w:rsidR="009D293F" w:rsidRPr="00E30D83">
        <w:rPr>
          <w:szCs w:val="22"/>
        </w:rPr>
        <w:t xml:space="preserve"> </w:t>
      </w:r>
      <w:r w:rsidR="00E8327B" w:rsidRPr="002141F4">
        <w:rPr>
          <w:szCs w:val="22"/>
          <w:lang w:val="en-US"/>
        </w:rPr>
        <w:t>non</w:t>
      </w:r>
      <w:r w:rsidR="00E8327B" w:rsidRPr="00E30D83">
        <w:rPr>
          <w:szCs w:val="22"/>
        </w:rPr>
        <w:t>-</w:t>
      </w:r>
      <w:r w:rsidR="009D293F" w:rsidRPr="002141F4">
        <w:rPr>
          <w:szCs w:val="22"/>
          <w:lang w:val="en-US"/>
        </w:rPr>
        <w:t>crystallising</w:t>
      </w:r>
      <w:r w:rsidR="007251EB" w:rsidRPr="00E30D83">
        <w:rPr>
          <w:szCs w:val="22"/>
        </w:rPr>
        <w:t>)</w:t>
      </w:r>
      <w:r w:rsidR="000C32A8" w:rsidRPr="00E30D83">
        <w:rPr>
          <w:noProof/>
          <w:szCs w:val="22"/>
        </w:rPr>
        <w:t>(</w:t>
      </w:r>
      <w:r w:rsidR="000C32A8" w:rsidRPr="00E30D83">
        <w:rPr>
          <w:noProof/>
          <w:szCs w:val="22"/>
          <w:lang w:val="en-US"/>
        </w:rPr>
        <w:t>E</w:t>
      </w:r>
      <w:r w:rsidR="000C32A8" w:rsidRPr="00E30D83">
        <w:rPr>
          <w:noProof/>
          <w:szCs w:val="22"/>
        </w:rPr>
        <w:t>420)</w:t>
      </w:r>
    </w:p>
    <w:p w14:paraId="713DBC28" w14:textId="77777777" w:rsidR="00E8327B" w:rsidRPr="002141F4" w:rsidRDefault="00E8327B" w:rsidP="00E13E8A">
      <w:pPr>
        <w:spacing w:line="360" w:lineRule="auto"/>
        <w:rPr>
          <w:szCs w:val="22"/>
        </w:rPr>
      </w:pPr>
      <w:r w:rsidRPr="002141F4">
        <w:rPr>
          <w:szCs w:val="22"/>
        </w:rPr>
        <w:t>Κόμμι ξανθάνης</w:t>
      </w:r>
    </w:p>
    <w:p w14:paraId="686843B0" w14:textId="149DBA3D" w:rsidR="00BC020C" w:rsidRPr="003D0DF2" w:rsidRDefault="00E8327B" w:rsidP="00E13E8A">
      <w:pPr>
        <w:spacing w:line="360" w:lineRule="auto"/>
        <w:rPr>
          <w:szCs w:val="22"/>
        </w:rPr>
      </w:pPr>
      <w:r w:rsidRPr="002141F4">
        <w:rPr>
          <w:szCs w:val="22"/>
        </w:rPr>
        <w:t>Π</w:t>
      </w:r>
      <w:r w:rsidR="002A0EBD" w:rsidRPr="002141F4">
        <w:rPr>
          <w:szCs w:val="22"/>
        </w:rPr>
        <w:t>αρα</w:t>
      </w:r>
      <w:r w:rsidR="00BC020C" w:rsidRPr="002141F4">
        <w:rPr>
          <w:szCs w:val="22"/>
        </w:rPr>
        <w:t>ϋ</w:t>
      </w:r>
      <w:r w:rsidR="002A0EBD" w:rsidRPr="002141F4">
        <w:rPr>
          <w:szCs w:val="22"/>
        </w:rPr>
        <w:t>δοξυβενζοϊκός μεθυλεστέρας</w:t>
      </w:r>
      <w:r w:rsidR="000C32A8" w:rsidRPr="00E30D83">
        <w:rPr>
          <w:szCs w:val="22"/>
        </w:rPr>
        <w:t xml:space="preserve"> </w:t>
      </w:r>
      <w:r w:rsidR="000C32A8" w:rsidRPr="002141F4">
        <w:rPr>
          <w:noProof/>
          <w:szCs w:val="22"/>
        </w:rPr>
        <w:t>(Ε218)</w:t>
      </w:r>
    </w:p>
    <w:p w14:paraId="3F5004A2" w14:textId="01B81405" w:rsidR="00A3381A" w:rsidRPr="00E30D83" w:rsidRDefault="00E8327B" w:rsidP="00FF6CD5">
      <w:pPr>
        <w:spacing w:line="360" w:lineRule="auto"/>
        <w:rPr>
          <w:szCs w:val="22"/>
        </w:rPr>
      </w:pPr>
      <w:r w:rsidRPr="002141F4">
        <w:rPr>
          <w:szCs w:val="22"/>
        </w:rPr>
        <w:t>Π</w:t>
      </w:r>
      <w:r w:rsidR="002A0EBD" w:rsidRPr="002141F4">
        <w:rPr>
          <w:szCs w:val="22"/>
        </w:rPr>
        <w:t>αρα</w:t>
      </w:r>
      <w:r w:rsidR="00BC020C" w:rsidRPr="002141F4">
        <w:rPr>
          <w:szCs w:val="22"/>
        </w:rPr>
        <w:t>ϋ</w:t>
      </w:r>
      <w:r w:rsidR="002A0EBD" w:rsidRPr="002141F4">
        <w:rPr>
          <w:szCs w:val="22"/>
        </w:rPr>
        <w:t>δοξυβενζοϊκός προπυλεστέρας</w:t>
      </w:r>
      <w:r w:rsidR="000C32A8" w:rsidRPr="00E30D83">
        <w:rPr>
          <w:szCs w:val="22"/>
        </w:rPr>
        <w:t xml:space="preserve"> </w:t>
      </w:r>
      <w:r w:rsidR="000C32A8" w:rsidRPr="002141F4">
        <w:rPr>
          <w:noProof/>
          <w:szCs w:val="22"/>
        </w:rPr>
        <w:t>(Ε216)</w:t>
      </w:r>
    </w:p>
    <w:p w14:paraId="3D4848B4" w14:textId="77777777" w:rsidR="002A0EBD" w:rsidRPr="002141F4" w:rsidRDefault="002A0EBD" w:rsidP="00FF6CD5">
      <w:pPr>
        <w:spacing w:line="360" w:lineRule="auto"/>
        <w:rPr>
          <w:szCs w:val="22"/>
        </w:rPr>
      </w:pPr>
      <w:r w:rsidRPr="002141F4">
        <w:rPr>
          <w:szCs w:val="22"/>
        </w:rPr>
        <w:t>Άνυδρο κιτρικό οξύ</w:t>
      </w:r>
    </w:p>
    <w:p w14:paraId="1919F397" w14:textId="77777777" w:rsidR="00E8327B" w:rsidRPr="002141F4" w:rsidRDefault="00E8327B" w:rsidP="00FF6CD5">
      <w:pPr>
        <w:spacing w:line="360" w:lineRule="auto"/>
        <w:rPr>
          <w:szCs w:val="22"/>
        </w:rPr>
      </w:pPr>
      <w:r w:rsidRPr="002141F4">
        <w:rPr>
          <w:szCs w:val="22"/>
        </w:rPr>
        <w:t>Διυδρικό κιτρικό νάτριο</w:t>
      </w:r>
    </w:p>
    <w:p w14:paraId="13A2A54D" w14:textId="77777777" w:rsidR="00E8327B" w:rsidRPr="002141F4" w:rsidRDefault="00E8327B" w:rsidP="00FF6CD5">
      <w:pPr>
        <w:spacing w:line="360" w:lineRule="auto"/>
        <w:rPr>
          <w:szCs w:val="22"/>
        </w:rPr>
      </w:pPr>
      <w:r w:rsidRPr="002141F4">
        <w:rPr>
          <w:szCs w:val="22"/>
        </w:rPr>
        <w:t>Γλυκερίνη</w:t>
      </w:r>
    </w:p>
    <w:p w14:paraId="61AC2C59" w14:textId="77777777" w:rsidR="00E8327B" w:rsidRPr="002141F4" w:rsidRDefault="00E8327B" w:rsidP="00FF6CD5">
      <w:pPr>
        <w:spacing w:line="360" w:lineRule="auto"/>
        <w:rPr>
          <w:szCs w:val="22"/>
        </w:rPr>
      </w:pPr>
      <w:r w:rsidRPr="002141F4">
        <w:rPr>
          <w:szCs w:val="22"/>
        </w:rPr>
        <w:t>Άρωμα φράουλας</w:t>
      </w:r>
    </w:p>
    <w:p w14:paraId="252E4713" w14:textId="77777777" w:rsidR="00E8327B" w:rsidRPr="002141F4" w:rsidRDefault="00E8327B" w:rsidP="00FF6CD5">
      <w:pPr>
        <w:spacing w:line="360" w:lineRule="auto"/>
        <w:rPr>
          <w:szCs w:val="22"/>
        </w:rPr>
      </w:pPr>
      <w:r w:rsidRPr="002141F4">
        <w:rPr>
          <w:szCs w:val="22"/>
        </w:rPr>
        <w:t xml:space="preserve">Δινάτριο </w:t>
      </w:r>
      <w:r w:rsidRPr="002141F4">
        <w:rPr>
          <w:szCs w:val="22"/>
          <w:lang w:val="en-US"/>
        </w:rPr>
        <w:t>EDTA</w:t>
      </w:r>
    </w:p>
    <w:p w14:paraId="7B69573A" w14:textId="77777777" w:rsidR="00E8327B" w:rsidRPr="002141F4" w:rsidRDefault="00E8327B" w:rsidP="00FF6CD5">
      <w:pPr>
        <w:spacing w:line="360" w:lineRule="auto"/>
        <w:rPr>
          <w:szCs w:val="22"/>
        </w:rPr>
      </w:pPr>
      <w:r w:rsidRPr="002141F4">
        <w:rPr>
          <w:szCs w:val="22"/>
        </w:rPr>
        <w:t>Σουκραλόζη</w:t>
      </w:r>
    </w:p>
    <w:p w14:paraId="1344362C" w14:textId="51AFECC3" w:rsidR="00E8327B" w:rsidRPr="003D0DF2" w:rsidRDefault="002311F2" w:rsidP="00FF6CD5">
      <w:pPr>
        <w:spacing w:line="360" w:lineRule="auto"/>
        <w:rPr>
          <w:szCs w:val="22"/>
        </w:rPr>
      </w:pPr>
      <w:r>
        <w:rPr>
          <w:szCs w:val="22"/>
        </w:rPr>
        <w:t>Υγρή</w:t>
      </w:r>
      <w:r w:rsidR="006255B5">
        <w:rPr>
          <w:szCs w:val="22"/>
        </w:rPr>
        <w:t xml:space="preserve"> μ</w:t>
      </w:r>
      <w:r w:rsidR="00E8327B" w:rsidRPr="002141F4">
        <w:rPr>
          <w:szCs w:val="22"/>
        </w:rPr>
        <w:t>αλτιτόλη</w:t>
      </w:r>
      <w:r w:rsidR="000C32A8" w:rsidRPr="00E30D83">
        <w:rPr>
          <w:szCs w:val="22"/>
        </w:rPr>
        <w:t xml:space="preserve"> </w:t>
      </w:r>
      <w:r w:rsidR="000C32A8" w:rsidRPr="002141F4">
        <w:rPr>
          <w:noProof/>
          <w:szCs w:val="22"/>
        </w:rPr>
        <w:t>(E965)</w:t>
      </w:r>
    </w:p>
    <w:p w14:paraId="3ADEF141" w14:textId="77777777" w:rsidR="009D293F" w:rsidRPr="002141F4" w:rsidRDefault="002A0EBD" w:rsidP="00FF6CD5">
      <w:pPr>
        <w:spacing w:line="360" w:lineRule="auto"/>
        <w:rPr>
          <w:szCs w:val="22"/>
        </w:rPr>
      </w:pPr>
      <w:r w:rsidRPr="002141F4">
        <w:rPr>
          <w:szCs w:val="22"/>
        </w:rPr>
        <w:t xml:space="preserve">Κεκαθαρμένο ύδωρ </w:t>
      </w:r>
    </w:p>
    <w:p w14:paraId="15DA1818" w14:textId="77777777" w:rsidR="00065364" w:rsidRPr="006142E0" w:rsidRDefault="00065364" w:rsidP="00FF6CD5">
      <w:pPr>
        <w:spacing w:line="360" w:lineRule="auto"/>
        <w:rPr>
          <w:szCs w:val="22"/>
        </w:rPr>
      </w:pPr>
    </w:p>
    <w:p w14:paraId="6ADAFD26" w14:textId="77777777" w:rsidR="00496809" w:rsidRPr="002141F4" w:rsidRDefault="00496809" w:rsidP="00FF6CD5">
      <w:pPr>
        <w:spacing w:line="360" w:lineRule="auto"/>
        <w:rPr>
          <w:szCs w:val="22"/>
        </w:rPr>
      </w:pPr>
      <w:r w:rsidRPr="002141F4">
        <w:rPr>
          <w:b/>
          <w:szCs w:val="22"/>
        </w:rPr>
        <w:t>6.2</w:t>
      </w:r>
      <w:r w:rsidRPr="002141F4">
        <w:rPr>
          <w:b/>
          <w:szCs w:val="22"/>
        </w:rPr>
        <w:tab/>
        <w:t>Ασυμβατότητες</w:t>
      </w:r>
    </w:p>
    <w:p w14:paraId="6E2E8FFD" w14:textId="77777777" w:rsidR="00496809" w:rsidRPr="002141F4" w:rsidRDefault="00496809" w:rsidP="00FF6CD5">
      <w:pPr>
        <w:spacing w:line="360" w:lineRule="auto"/>
        <w:rPr>
          <w:szCs w:val="22"/>
        </w:rPr>
      </w:pPr>
    </w:p>
    <w:p w14:paraId="0B56E06A" w14:textId="77777777" w:rsidR="00496809" w:rsidRPr="002141F4" w:rsidRDefault="00D35796" w:rsidP="00FF6CD5">
      <w:pPr>
        <w:spacing w:line="360" w:lineRule="auto"/>
        <w:rPr>
          <w:szCs w:val="22"/>
        </w:rPr>
      </w:pPr>
      <w:r w:rsidRPr="002141F4">
        <w:rPr>
          <w:szCs w:val="22"/>
        </w:rPr>
        <w:t>Καμία γνωστή.</w:t>
      </w:r>
    </w:p>
    <w:p w14:paraId="1EEBED98" w14:textId="77777777" w:rsidR="00496809" w:rsidRPr="002141F4" w:rsidRDefault="00496809" w:rsidP="00FF6CD5">
      <w:pPr>
        <w:spacing w:line="360" w:lineRule="auto"/>
        <w:rPr>
          <w:szCs w:val="22"/>
        </w:rPr>
      </w:pPr>
    </w:p>
    <w:p w14:paraId="5C06A4B4" w14:textId="77777777" w:rsidR="00496809" w:rsidRPr="002141F4" w:rsidRDefault="00496809" w:rsidP="00FF6CD5">
      <w:pPr>
        <w:spacing w:line="360" w:lineRule="auto"/>
        <w:rPr>
          <w:szCs w:val="22"/>
        </w:rPr>
      </w:pPr>
      <w:r w:rsidRPr="002141F4">
        <w:rPr>
          <w:b/>
          <w:szCs w:val="22"/>
        </w:rPr>
        <w:t>6.3</w:t>
      </w:r>
      <w:r w:rsidRPr="002141F4">
        <w:rPr>
          <w:b/>
          <w:szCs w:val="22"/>
        </w:rPr>
        <w:tab/>
        <w:t>Διάρκεια ζωής</w:t>
      </w:r>
    </w:p>
    <w:p w14:paraId="05E967FC" w14:textId="77777777" w:rsidR="00496809" w:rsidRPr="002141F4" w:rsidRDefault="00496809" w:rsidP="00FF6CD5">
      <w:pPr>
        <w:spacing w:line="360" w:lineRule="auto"/>
        <w:rPr>
          <w:szCs w:val="22"/>
        </w:rPr>
      </w:pPr>
    </w:p>
    <w:p w14:paraId="6646D2CF" w14:textId="651AE05C" w:rsidR="00496809" w:rsidRPr="002141F4" w:rsidRDefault="00A5443F" w:rsidP="00FF6CD5">
      <w:pPr>
        <w:spacing w:line="360" w:lineRule="auto"/>
        <w:rPr>
          <w:szCs w:val="22"/>
        </w:rPr>
      </w:pPr>
      <w:r w:rsidRPr="002141F4">
        <w:rPr>
          <w:szCs w:val="22"/>
        </w:rPr>
        <w:t>2</w:t>
      </w:r>
      <w:r w:rsidR="00496809" w:rsidRPr="002141F4">
        <w:rPr>
          <w:szCs w:val="22"/>
        </w:rPr>
        <w:t xml:space="preserve"> χρόνια</w:t>
      </w:r>
      <w:r w:rsidR="002D707A" w:rsidRPr="002141F4">
        <w:rPr>
          <w:szCs w:val="22"/>
        </w:rPr>
        <w:t>.</w:t>
      </w:r>
    </w:p>
    <w:p w14:paraId="46124C1B" w14:textId="531E1C5C" w:rsidR="002D707A" w:rsidRPr="002141F4" w:rsidRDefault="002D707A" w:rsidP="00FF6CD5">
      <w:pPr>
        <w:spacing w:line="360" w:lineRule="auto"/>
        <w:rPr>
          <w:szCs w:val="22"/>
        </w:rPr>
      </w:pPr>
      <w:r w:rsidRPr="002141F4">
        <w:rPr>
          <w:szCs w:val="22"/>
        </w:rPr>
        <w:t>Μετά το άνοιγμα</w:t>
      </w:r>
      <w:r w:rsidRPr="00E30D83">
        <w:rPr>
          <w:szCs w:val="22"/>
        </w:rPr>
        <w:t xml:space="preserve"> </w:t>
      </w:r>
      <w:r w:rsidRPr="002141F4">
        <w:rPr>
          <w:szCs w:val="22"/>
        </w:rPr>
        <w:t>το προϊόν διατηρείται για 6 μήνες.</w:t>
      </w:r>
    </w:p>
    <w:p w14:paraId="46FE79C8" w14:textId="77777777" w:rsidR="00496809" w:rsidRPr="002141F4" w:rsidRDefault="00496809" w:rsidP="00FF6CD5">
      <w:pPr>
        <w:spacing w:line="360" w:lineRule="auto"/>
        <w:rPr>
          <w:szCs w:val="22"/>
        </w:rPr>
      </w:pPr>
    </w:p>
    <w:p w14:paraId="2B92BC8F" w14:textId="4532E7B0" w:rsidR="00496809" w:rsidRPr="002141F4" w:rsidRDefault="00496809" w:rsidP="00FF6CD5">
      <w:pPr>
        <w:spacing w:line="360" w:lineRule="auto"/>
        <w:rPr>
          <w:szCs w:val="22"/>
        </w:rPr>
      </w:pPr>
      <w:r w:rsidRPr="002141F4">
        <w:rPr>
          <w:b/>
          <w:szCs w:val="22"/>
        </w:rPr>
        <w:t>6.4</w:t>
      </w:r>
      <w:r w:rsidRPr="002141F4">
        <w:rPr>
          <w:b/>
          <w:szCs w:val="22"/>
        </w:rPr>
        <w:tab/>
        <w:t>Ιδιαίτερες προφυλάξεις κατά τη φύλαξη του προϊόντος</w:t>
      </w:r>
    </w:p>
    <w:p w14:paraId="375877B1" w14:textId="77777777" w:rsidR="00496809" w:rsidRPr="002141F4" w:rsidRDefault="00496809" w:rsidP="00FF6CD5">
      <w:pPr>
        <w:spacing w:line="360" w:lineRule="auto"/>
        <w:rPr>
          <w:szCs w:val="22"/>
        </w:rPr>
      </w:pPr>
    </w:p>
    <w:p w14:paraId="57F48E8D" w14:textId="4CEF24DA" w:rsidR="00496809" w:rsidRPr="002141F4" w:rsidRDefault="00E80D00" w:rsidP="00FF6CD5">
      <w:pPr>
        <w:spacing w:line="360" w:lineRule="auto"/>
        <w:rPr>
          <w:szCs w:val="22"/>
        </w:rPr>
      </w:pPr>
      <w:r w:rsidRPr="002141F4">
        <w:rPr>
          <w:szCs w:val="22"/>
        </w:rPr>
        <w:t>Μ</w:t>
      </w:r>
      <w:r w:rsidR="002E7CF1" w:rsidRPr="002141F4">
        <w:rPr>
          <w:szCs w:val="22"/>
        </w:rPr>
        <w:t>η φυλάσσετ</w:t>
      </w:r>
      <w:r w:rsidRPr="002141F4">
        <w:rPr>
          <w:szCs w:val="22"/>
        </w:rPr>
        <w:t>ε</w:t>
      </w:r>
      <w:r w:rsidR="002E7CF1" w:rsidRPr="002141F4">
        <w:rPr>
          <w:szCs w:val="22"/>
        </w:rPr>
        <w:t xml:space="preserve"> σε θερμοκρασία μεγαλύτερη των </w:t>
      </w:r>
      <w:r w:rsidR="00A5443F" w:rsidRPr="002141F4">
        <w:rPr>
          <w:szCs w:val="22"/>
        </w:rPr>
        <w:t>30</w:t>
      </w:r>
      <w:r w:rsidR="003A16E2">
        <w:rPr>
          <w:szCs w:val="22"/>
        </w:rPr>
        <w:t xml:space="preserve"> </w:t>
      </w:r>
      <w:r w:rsidR="002E7CF1" w:rsidRPr="002141F4">
        <w:rPr>
          <w:szCs w:val="22"/>
        </w:rPr>
        <w:t>°C.</w:t>
      </w:r>
    </w:p>
    <w:p w14:paraId="5C0D9B7A" w14:textId="77777777" w:rsidR="00496809" w:rsidRPr="002141F4" w:rsidRDefault="00496809" w:rsidP="00FF6CD5">
      <w:pPr>
        <w:pStyle w:val="Header"/>
        <w:tabs>
          <w:tab w:val="clear" w:pos="4153"/>
          <w:tab w:val="clear" w:pos="8306"/>
        </w:tabs>
        <w:spacing w:line="360" w:lineRule="auto"/>
        <w:rPr>
          <w:szCs w:val="22"/>
        </w:rPr>
      </w:pPr>
    </w:p>
    <w:p w14:paraId="11127283" w14:textId="77777777" w:rsidR="00496809" w:rsidRPr="002141F4" w:rsidRDefault="00496809" w:rsidP="00FF6CD5">
      <w:pPr>
        <w:spacing w:line="360" w:lineRule="auto"/>
        <w:rPr>
          <w:szCs w:val="22"/>
        </w:rPr>
      </w:pPr>
      <w:r w:rsidRPr="002141F4">
        <w:rPr>
          <w:b/>
          <w:szCs w:val="22"/>
        </w:rPr>
        <w:t>6.5</w:t>
      </w:r>
      <w:r w:rsidRPr="002141F4">
        <w:rPr>
          <w:b/>
          <w:szCs w:val="22"/>
        </w:rPr>
        <w:tab/>
        <w:t>Φύση και συστατικά του περιέκτη</w:t>
      </w:r>
    </w:p>
    <w:p w14:paraId="0BBFC13E" w14:textId="77777777" w:rsidR="00496809" w:rsidRPr="002141F4" w:rsidRDefault="00496809" w:rsidP="00FF6CD5">
      <w:pPr>
        <w:spacing w:line="360" w:lineRule="auto"/>
        <w:rPr>
          <w:szCs w:val="22"/>
        </w:rPr>
      </w:pPr>
    </w:p>
    <w:p w14:paraId="56651D19" w14:textId="67782112" w:rsidR="000E226F" w:rsidRPr="002141F4" w:rsidRDefault="002E7CF1" w:rsidP="00FF6CD5">
      <w:pPr>
        <w:spacing w:line="360" w:lineRule="auto"/>
        <w:rPr>
          <w:szCs w:val="22"/>
        </w:rPr>
      </w:pPr>
      <w:bookmarkStart w:id="2" w:name="_Hlk92791835"/>
      <w:r w:rsidRPr="002141F4">
        <w:rPr>
          <w:szCs w:val="22"/>
        </w:rPr>
        <w:t>Γυάλιν</w:t>
      </w:r>
      <w:r w:rsidR="00A5443F" w:rsidRPr="002141F4">
        <w:rPr>
          <w:szCs w:val="22"/>
        </w:rPr>
        <w:t>η</w:t>
      </w:r>
      <w:r w:rsidRPr="002141F4">
        <w:rPr>
          <w:szCs w:val="22"/>
        </w:rPr>
        <w:t xml:space="preserve"> </w:t>
      </w:r>
      <w:r w:rsidR="00A5443F" w:rsidRPr="002141F4">
        <w:rPr>
          <w:szCs w:val="22"/>
        </w:rPr>
        <w:t>φιάλη</w:t>
      </w:r>
      <w:r w:rsidRPr="002141F4">
        <w:rPr>
          <w:szCs w:val="22"/>
        </w:rPr>
        <w:t xml:space="preserve"> </w:t>
      </w:r>
      <w:r w:rsidR="002D707A" w:rsidRPr="002141F4">
        <w:rPr>
          <w:szCs w:val="22"/>
        </w:rPr>
        <w:t xml:space="preserve">των </w:t>
      </w:r>
      <w:r w:rsidR="0087695C" w:rsidRPr="002141F4">
        <w:rPr>
          <w:szCs w:val="22"/>
        </w:rPr>
        <w:t xml:space="preserve">60 </w:t>
      </w:r>
      <w:r w:rsidR="0087695C" w:rsidRPr="002141F4">
        <w:rPr>
          <w:szCs w:val="22"/>
          <w:lang w:val="en-US"/>
        </w:rPr>
        <w:t>mL</w:t>
      </w:r>
      <w:r w:rsidR="0087695C" w:rsidRPr="002141F4">
        <w:rPr>
          <w:szCs w:val="22"/>
        </w:rPr>
        <w:t xml:space="preserve">, </w:t>
      </w:r>
      <w:r w:rsidRPr="002141F4">
        <w:rPr>
          <w:szCs w:val="22"/>
        </w:rPr>
        <w:t>100</w:t>
      </w:r>
      <w:r w:rsidR="00B8450E" w:rsidRPr="002141F4">
        <w:rPr>
          <w:szCs w:val="22"/>
        </w:rPr>
        <w:t xml:space="preserve"> </w:t>
      </w:r>
      <w:r w:rsidR="002A0EBD" w:rsidRPr="002141F4">
        <w:rPr>
          <w:szCs w:val="22"/>
        </w:rPr>
        <w:t>m</w:t>
      </w:r>
      <w:r w:rsidR="002A0EBD" w:rsidRPr="002141F4">
        <w:rPr>
          <w:szCs w:val="22"/>
          <w:lang w:val="en-US"/>
        </w:rPr>
        <w:t>L</w:t>
      </w:r>
      <w:r w:rsidR="002A0EBD" w:rsidRPr="002141F4">
        <w:rPr>
          <w:szCs w:val="22"/>
        </w:rPr>
        <w:t xml:space="preserve"> </w:t>
      </w:r>
      <w:r w:rsidR="002D707A" w:rsidRPr="002141F4">
        <w:rPr>
          <w:szCs w:val="22"/>
        </w:rPr>
        <w:t>ή των</w:t>
      </w:r>
      <w:r w:rsidRPr="002141F4">
        <w:rPr>
          <w:szCs w:val="22"/>
        </w:rPr>
        <w:t xml:space="preserve"> </w:t>
      </w:r>
      <w:r w:rsidR="00A5443F" w:rsidRPr="002141F4">
        <w:rPr>
          <w:szCs w:val="22"/>
        </w:rPr>
        <w:t>2</w:t>
      </w:r>
      <w:r w:rsidRPr="002141F4">
        <w:rPr>
          <w:szCs w:val="22"/>
        </w:rPr>
        <w:t>00</w:t>
      </w:r>
      <w:r w:rsidR="00B8450E" w:rsidRPr="002141F4">
        <w:rPr>
          <w:szCs w:val="22"/>
        </w:rPr>
        <w:t xml:space="preserve"> </w:t>
      </w:r>
      <w:r w:rsidR="002A0EBD" w:rsidRPr="002141F4">
        <w:rPr>
          <w:szCs w:val="22"/>
        </w:rPr>
        <w:t>m</w:t>
      </w:r>
      <w:r w:rsidR="002A0EBD" w:rsidRPr="002141F4">
        <w:rPr>
          <w:szCs w:val="22"/>
          <w:lang w:val="en-US"/>
        </w:rPr>
        <w:t>L</w:t>
      </w:r>
      <w:r w:rsidR="00A92A45">
        <w:rPr>
          <w:szCs w:val="22"/>
        </w:rPr>
        <w:t xml:space="preserve"> με πώμα ασφαλείας</w:t>
      </w:r>
      <w:r w:rsidRPr="002141F4">
        <w:rPr>
          <w:szCs w:val="22"/>
        </w:rPr>
        <w:t xml:space="preserve">. </w:t>
      </w:r>
      <w:r w:rsidR="00A5443F" w:rsidRPr="002141F4">
        <w:rPr>
          <w:szCs w:val="22"/>
        </w:rPr>
        <w:t>Η φιάλη</w:t>
      </w:r>
      <w:r w:rsidRPr="002141F4">
        <w:rPr>
          <w:szCs w:val="22"/>
        </w:rPr>
        <w:t xml:space="preserve"> συσκευάζεται μαζί με </w:t>
      </w:r>
      <w:r w:rsidR="00A5443F" w:rsidRPr="002141F4">
        <w:rPr>
          <w:szCs w:val="22"/>
        </w:rPr>
        <w:t>πλαστική δοσ</w:t>
      </w:r>
      <w:r w:rsidR="000D14B5" w:rsidRPr="002141F4">
        <w:rPr>
          <w:szCs w:val="22"/>
          <w:lang w:val="en-US"/>
        </w:rPr>
        <w:t>o</w:t>
      </w:r>
      <w:r w:rsidR="00A5443F" w:rsidRPr="002141F4">
        <w:rPr>
          <w:szCs w:val="22"/>
        </w:rPr>
        <w:t>μετρική σύριγγα των 10</w:t>
      </w:r>
      <w:r w:rsidR="003A16E2">
        <w:rPr>
          <w:szCs w:val="22"/>
        </w:rPr>
        <w:t xml:space="preserve"> </w:t>
      </w:r>
      <w:r w:rsidR="00A5443F" w:rsidRPr="002141F4">
        <w:rPr>
          <w:szCs w:val="22"/>
        </w:rPr>
        <w:t>ml που αποτελείται από το</w:t>
      </w:r>
      <w:r w:rsidR="00CB327D" w:rsidRPr="002141F4">
        <w:rPr>
          <w:szCs w:val="22"/>
        </w:rPr>
        <w:t>ν κύλινδρο (</w:t>
      </w:r>
      <w:r w:rsidR="00A5443F" w:rsidRPr="002141F4">
        <w:rPr>
          <w:szCs w:val="22"/>
        </w:rPr>
        <w:t>σώμα) και το έμβολο (ολισθητήρας) κατασκευασμέν</w:t>
      </w:r>
      <w:r w:rsidR="00842740" w:rsidRPr="002141F4">
        <w:rPr>
          <w:szCs w:val="22"/>
        </w:rPr>
        <w:t>α</w:t>
      </w:r>
      <w:r w:rsidR="00A5443F" w:rsidRPr="002141F4">
        <w:rPr>
          <w:szCs w:val="22"/>
        </w:rPr>
        <w:t xml:space="preserve"> από πολυαιθυλ</w:t>
      </w:r>
      <w:r w:rsidR="00842740" w:rsidRPr="00E30D83">
        <w:rPr>
          <w:szCs w:val="22"/>
        </w:rPr>
        <w:t>έ</w:t>
      </w:r>
      <w:r w:rsidR="00A5443F" w:rsidRPr="002141F4">
        <w:rPr>
          <w:szCs w:val="22"/>
        </w:rPr>
        <w:t>ν</w:t>
      </w:r>
      <w:r w:rsidR="00842740" w:rsidRPr="00E30D83">
        <w:rPr>
          <w:szCs w:val="22"/>
        </w:rPr>
        <w:t>ιο</w:t>
      </w:r>
      <w:r w:rsidR="00A5443F" w:rsidRPr="002141F4">
        <w:rPr>
          <w:szCs w:val="22"/>
        </w:rPr>
        <w:t xml:space="preserve"> και πολυπροπυλ</w:t>
      </w:r>
      <w:r w:rsidR="00842740" w:rsidRPr="002141F4">
        <w:rPr>
          <w:szCs w:val="22"/>
        </w:rPr>
        <w:t>ένιο</w:t>
      </w:r>
      <w:r w:rsidR="00A5443F" w:rsidRPr="002141F4">
        <w:rPr>
          <w:szCs w:val="22"/>
        </w:rPr>
        <w:t>.</w:t>
      </w:r>
      <w:bookmarkEnd w:id="2"/>
      <w:r w:rsidRPr="002141F4">
        <w:rPr>
          <w:szCs w:val="22"/>
        </w:rPr>
        <w:t xml:space="preserve"> </w:t>
      </w:r>
    </w:p>
    <w:p w14:paraId="001A1D0E" w14:textId="77777777" w:rsidR="00496809" w:rsidRPr="002141F4" w:rsidRDefault="000E226F" w:rsidP="00FF6CD5">
      <w:pPr>
        <w:spacing w:line="360" w:lineRule="auto"/>
        <w:rPr>
          <w:szCs w:val="22"/>
        </w:rPr>
      </w:pPr>
      <w:r w:rsidRPr="002141F4">
        <w:rPr>
          <w:szCs w:val="22"/>
        </w:rPr>
        <w:t>Μπορεί να μη</w:t>
      </w:r>
      <w:r w:rsidR="00E80D00" w:rsidRPr="002141F4">
        <w:rPr>
          <w:szCs w:val="22"/>
        </w:rPr>
        <w:t>ν</w:t>
      </w:r>
      <w:r w:rsidRPr="002141F4">
        <w:rPr>
          <w:szCs w:val="22"/>
        </w:rPr>
        <w:t xml:space="preserve"> κυκλοφορούν όλες οι συσκευασίες.</w:t>
      </w:r>
    </w:p>
    <w:p w14:paraId="04D954D1" w14:textId="77777777" w:rsidR="00496809" w:rsidRPr="002141F4" w:rsidRDefault="00496809" w:rsidP="00FF6CD5">
      <w:pPr>
        <w:spacing w:line="360" w:lineRule="auto"/>
        <w:rPr>
          <w:b/>
          <w:szCs w:val="22"/>
        </w:rPr>
      </w:pPr>
    </w:p>
    <w:p w14:paraId="20978848" w14:textId="77777777" w:rsidR="00496809" w:rsidRPr="002141F4" w:rsidRDefault="00496809" w:rsidP="00FF6CD5">
      <w:pPr>
        <w:spacing w:line="360" w:lineRule="auto"/>
        <w:rPr>
          <w:szCs w:val="22"/>
        </w:rPr>
      </w:pPr>
      <w:r w:rsidRPr="002141F4">
        <w:rPr>
          <w:b/>
          <w:szCs w:val="22"/>
        </w:rPr>
        <w:t>6.6</w:t>
      </w:r>
      <w:r w:rsidRPr="002141F4">
        <w:rPr>
          <w:b/>
          <w:szCs w:val="22"/>
        </w:rPr>
        <w:tab/>
      </w:r>
      <w:r w:rsidRPr="002141F4">
        <w:rPr>
          <w:b/>
          <w:noProof/>
          <w:szCs w:val="22"/>
        </w:rPr>
        <w:t>Ιδ</w:t>
      </w:r>
      <w:r w:rsidR="00B8450E" w:rsidRPr="002141F4">
        <w:rPr>
          <w:b/>
          <w:noProof/>
          <w:szCs w:val="22"/>
        </w:rPr>
        <w:t>ιαίτερες προφυλάξεις απόρριψης</w:t>
      </w:r>
      <w:r w:rsidRPr="002141F4">
        <w:rPr>
          <w:b/>
          <w:noProof/>
          <w:szCs w:val="22"/>
        </w:rPr>
        <w:t xml:space="preserve"> και άλλος χειρισμός</w:t>
      </w:r>
    </w:p>
    <w:p w14:paraId="7053F666" w14:textId="77777777" w:rsidR="000E226F" w:rsidRPr="002141F4" w:rsidRDefault="000E226F" w:rsidP="00FF6CD5">
      <w:pPr>
        <w:spacing w:line="360" w:lineRule="auto"/>
        <w:rPr>
          <w:i/>
          <w:noProof/>
          <w:szCs w:val="22"/>
        </w:rPr>
      </w:pPr>
    </w:p>
    <w:p w14:paraId="6020A293" w14:textId="77777777" w:rsidR="007F0DD3" w:rsidRPr="002141F4" w:rsidRDefault="00DB2A06" w:rsidP="00FF6CD5">
      <w:pPr>
        <w:spacing w:line="360" w:lineRule="auto"/>
        <w:rPr>
          <w:szCs w:val="22"/>
        </w:rPr>
      </w:pPr>
      <w:r w:rsidRPr="002141F4">
        <w:rPr>
          <w:szCs w:val="22"/>
        </w:rPr>
        <w:t>Κάθε αχρησιμοποίητο φαρμακευτικό προϊόν ή υπόλειμμα πρέπει να απορρίπτεται σύμφωνα με τις κατά τόπους ισχύουσες σχετικές διατάξεις.</w:t>
      </w:r>
    </w:p>
    <w:p w14:paraId="5F09B8D8" w14:textId="77777777" w:rsidR="00E80D00" w:rsidRPr="002141F4" w:rsidRDefault="00E80D00" w:rsidP="00FF6CD5">
      <w:pPr>
        <w:spacing w:line="360" w:lineRule="auto"/>
        <w:rPr>
          <w:szCs w:val="22"/>
        </w:rPr>
      </w:pPr>
    </w:p>
    <w:p w14:paraId="13050F56" w14:textId="77777777" w:rsidR="00496809" w:rsidRPr="002141F4" w:rsidRDefault="00496809" w:rsidP="00FF6CD5">
      <w:pPr>
        <w:spacing w:line="360" w:lineRule="auto"/>
        <w:rPr>
          <w:szCs w:val="22"/>
        </w:rPr>
      </w:pPr>
      <w:r w:rsidRPr="002141F4">
        <w:rPr>
          <w:b/>
          <w:szCs w:val="22"/>
        </w:rPr>
        <w:t>7.</w:t>
      </w:r>
      <w:r w:rsidRPr="002141F4">
        <w:rPr>
          <w:b/>
          <w:szCs w:val="22"/>
        </w:rPr>
        <w:tab/>
        <w:t>ΚΑΤΟΧΟΣ ΤΗΣ ΑΔΕΙΑΣ ΚΥΚΛΟΦΟΡΙΑΣ</w:t>
      </w:r>
    </w:p>
    <w:p w14:paraId="442A1A0D" w14:textId="77777777" w:rsidR="00496809" w:rsidRPr="002141F4" w:rsidRDefault="00496809" w:rsidP="00FF6CD5">
      <w:pPr>
        <w:spacing w:line="360" w:lineRule="auto"/>
        <w:rPr>
          <w:szCs w:val="22"/>
        </w:rPr>
      </w:pPr>
    </w:p>
    <w:p w14:paraId="1E364D53" w14:textId="4CF4C0CE" w:rsidR="00594861" w:rsidRPr="002141F4" w:rsidRDefault="00E477B5" w:rsidP="00FF6CD5">
      <w:pPr>
        <w:widowControl/>
        <w:spacing w:line="360" w:lineRule="auto"/>
        <w:rPr>
          <w:szCs w:val="22"/>
          <w:lang w:eastAsia="el-GR"/>
        </w:rPr>
      </w:pPr>
      <w:r w:rsidRPr="00E477B5">
        <w:rPr>
          <w:szCs w:val="22"/>
          <w:lang w:val="en-GB"/>
        </w:rPr>
        <w:t>Haleon</w:t>
      </w:r>
      <w:r w:rsidRPr="00E477B5">
        <w:rPr>
          <w:szCs w:val="22"/>
        </w:rPr>
        <w:t xml:space="preserve"> Ελλάς </w:t>
      </w:r>
      <w:r w:rsidRPr="00E477B5">
        <w:rPr>
          <w:szCs w:val="22"/>
          <w:lang w:val="en-GB"/>
        </w:rPr>
        <w:t>M</w:t>
      </w:r>
      <w:r w:rsidRPr="00E477B5">
        <w:rPr>
          <w:szCs w:val="22"/>
        </w:rPr>
        <w:t xml:space="preserve">ονοπρόσωπη Ανώνυμη Εταιρεία, με διακριτικό τίτλο </w:t>
      </w:r>
      <w:r w:rsidRPr="00E477B5">
        <w:rPr>
          <w:szCs w:val="22"/>
          <w:lang w:val="en-GB"/>
        </w:rPr>
        <w:t>Haleon</w:t>
      </w:r>
      <w:r w:rsidRPr="00E477B5">
        <w:rPr>
          <w:szCs w:val="22"/>
        </w:rPr>
        <w:t xml:space="preserve"> Ελλάς</w:t>
      </w:r>
      <w:r w:rsidR="00594861" w:rsidRPr="002141F4">
        <w:rPr>
          <w:szCs w:val="22"/>
          <w:lang w:eastAsia="el-GR"/>
        </w:rPr>
        <w:t>,</w:t>
      </w:r>
    </w:p>
    <w:p w14:paraId="24413282" w14:textId="77777777" w:rsidR="000E226F" w:rsidRPr="002141F4" w:rsidRDefault="000E226F" w:rsidP="00FF6CD5">
      <w:pPr>
        <w:spacing w:line="360" w:lineRule="auto"/>
        <w:rPr>
          <w:szCs w:val="22"/>
        </w:rPr>
      </w:pPr>
      <w:r w:rsidRPr="002141F4">
        <w:rPr>
          <w:szCs w:val="22"/>
        </w:rPr>
        <w:t>Λ</w:t>
      </w:r>
      <w:r w:rsidR="00E80D00" w:rsidRPr="002141F4">
        <w:rPr>
          <w:szCs w:val="22"/>
        </w:rPr>
        <w:t>εωφ</w:t>
      </w:r>
      <w:r w:rsidRPr="002141F4">
        <w:rPr>
          <w:szCs w:val="22"/>
        </w:rPr>
        <w:t>. Κηφισίας 2</w:t>
      </w:r>
      <w:r w:rsidR="003C4FA3" w:rsidRPr="002141F4">
        <w:rPr>
          <w:szCs w:val="22"/>
        </w:rPr>
        <w:t>74</w:t>
      </w:r>
      <w:r w:rsidRPr="002141F4">
        <w:rPr>
          <w:szCs w:val="22"/>
        </w:rPr>
        <w:t xml:space="preserve">, </w:t>
      </w:r>
    </w:p>
    <w:p w14:paraId="743B7865" w14:textId="64958B55" w:rsidR="000E226F" w:rsidRPr="002141F4" w:rsidRDefault="000E226F" w:rsidP="00FF6CD5">
      <w:pPr>
        <w:spacing w:line="360" w:lineRule="auto"/>
        <w:rPr>
          <w:szCs w:val="22"/>
        </w:rPr>
      </w:pPr>
      <w:r w:rsidRPr="002141F4">
        <w:rPr>
          <w:szCs w:val="22"/>
        </w:rPr>
        <w:t>15232</w:t>
      </w:r>
      <w:r w:rsidR="002A0EBD" w:rsidRPr="002141F4">
        <w:rPr>
          <w:szCs w:val="22"/>
        </w:rPr>
        <w:t>,</w:t>
      </w:r>
      <w:r w:rsidR="006255B5">
        <w:rPr>
          <w:szCs w:val="22"/>
        </w:rPr>
        <w:t xml:space="preserve"> </w:t>
      </w:r>
      <w:r w:rsidRPr="002141F4">
        <w:rPr>
          <w:szCs w:val="22"/>
        </w:rPr>
        <w:t>Χαλάνδρι</w:t>
      </w:r>
      <w:r w:rsidR="00F513BA" w:rsidRPr="002141F4">
        <w:rPr>
          <w:szCs w:val="22"/>
        </w:rPr>
        <w:t>,</w:t>
      </w:r>
      <w:r w:rsidR="00E477B5">
        <w:rPr>
          <w:szCs w:val="22"/>
          <w:lang w:val="en-US"/>
        </w:rPr>
        <w:t xml:space="preserve"> </w:t>
      </w:r>
      <w:r w:rsidR="00E477B5">
        <w:rPr>
          <w:szCs w:val="22"/>
        </w:rPr>
        <w:t>Αθήνα, Ελλάδα</w:t>
      </w:r>
      <w:r w:rsidRPr="002141F4">
        <w:rPr>
          <w:szCs w:val="22"/>
        </w:rPr>
        <w:br/>
      </w:r>
      <w:r w:rsidR="003C4FA3" w:rsidRPr="002141F4">
        <w:rPr>
          <w:szCs w:val="22"/>
        </w:rPr>
        <w:t>Τ</w:t>
      </w:r>
      <w:r w:rsidRPr="002141F4">
        <w:rPr>
          <w:szCs w:val="22"/>
        </w:rPr>
        <w:t xml:space="preserve">ηλ.: </w:t>
      </w:r>
      <w:r w:rsidR="00C414AF" w:rsidRPr="00C414AF">
        <w:rPr>
          <w:szCs w:val="22"/>
        </w:rPr>
        <w:t>210</w:t>
      </w:r>
      <w:r w:rsidR="00C414AF" w:rsidRPr="00E477B5">
        <w:rPr>
          <w:szCs w:val="22"/>
        </w:rPr>
        <w:t xml:space="preserve"> </w:t>
      </w:r>
      <w:r w:rsidR="00C414AF" w:rsidRPr="00C414AF">
        <w:rPr>
          <w:szCs w:val="22"/>
        </w:rPr>
        <w:t>2217200</w:t>
      </w:r>
    </w:p>
    <w:p w14:paraId="2886AC5C" w14:textId="77777777" w:rsidR="00E80D00" w:rsidRPr="002141F4" w:rsidRDefault="00E80D00" w:rsidP="00FF6CD5">
      <w:pPr>
        <w:spacing w:line="360" w:lineRule="auto"/>
        <w:rPr>
          <w:szCs w:val="22"/>
        </w:rPr>
      </w:pPr>
    </w:p>
    <w:p w14:paraId="518F0E07" w14:textId="06998ACE" w:rsidR="00496809" w:rsidRPr="002141F4" w:rsidRDefault="00496809" w:rsidP="00FF6CD5">
      <w:pPr>
        <w:spacing w:line="360" w:lineRule="auto"/>
        <w:rPr>
          <w:szCs w:val="22"/>
        </w:rPr>
      </w:pPr>
      <w:r w:rsidRPr="002141F4">
        <w:rPr>
          <w:b/>
          <w:szCs w:val="22"/>
        </w:rPr>
        <w:t>8.</w:t>
      </w:r>
      <w:r w:rsidRPr="002141F4">
        <w:rPr>
          <w:b/>
          <w:szCs w:val="22"/>
        </w:rPr>
        <w:tab/>
        <w:t>ΑΡΙΘΜΟΣ ΑΔΕΙΑΣ ΚΥΚΛΟΦΟΡΙΑΣ</w:t>
      </w:r>
    </w:p>
    <w:p w14:paraId="7819FCC1" w14:textId="77777777" w:rsidR="00496809" w:rsidRPr="002141F4" w:rsidRDefault="00496809" w:rsidP="00FF6CD5">
      <w:pPr>
        <w:spacing w:line="360" w:lineRule="auto"/>
        <w:rPr>
          <w:szCs w:val="22"/>
        </w:rPr>
      </w:pPr>
    </w:p>
    <w:p w14:paraId="18026CA1" w14:textId="77777777" w:rsidR="00496809" w:rsidRPr="002141F4" w:rsidRDefault="00AB0ED0" w:rsidP="00FF6CD5">
      <w:pPr>
        <w:spacing w:line="360" w:lineRule="auto"/>
        <w:rPr>
          <w:szCs w:val="22"/>
        </w:rPr>
      </w:pPr>
      <w:r w:rsidRPr="002141F4">
        <w:rPr>
          <w:szCs w:val="22"/>
        </w:rPr>
        <w:t>39353/08/16-1-2009</w:t>
      </w:r>
    </w:p>
    <w:p w14:paraId="300E2159" w14:textId="77777777" w:rsidR="00E80D00" w:rsidRPr="002141F4" w:rsidRDefault="00E80D00" w:rsidP="00FF6CD5">
      <w:pPr>
        <w:spacing w:line="360" w:lineRule="auto"/>
        <w:rPr>
          <w:szCs w:val="22"/>
        </w:rPr>
      </w:pPr>
    </w:p>
    <w:p w14:paraId="29222A67" w14:textId="7266E2F4" w:rsidR="00496809" w:rsidRPr="002141F4" w:rsidRDefault="00496809" w:rsidP="00FF6CD5">
      <w:pPr>
        <w:spacing w:line="360" w:lineRule="auto"/>
        <w:rPr>
          <w:szCs w:val="22"/>
        </w:rPr>
      </w:pPr>
      <w:r w:rsidRPr="002141F4">
        <w:rPr>
          <w:b/>
          <w:szCs w:val="22"/>
        </w:rPr>
        <w:t>9.</w:t>
      </w:r>
      <w:r w:rsidRPr="002141F4">
        <w:rPr>
          <w:b/>
          <w:szCs w:val="22"/>
        </w:rPr>
        <w:tab/>
        <w:t>ΗΜΕΡΟΜΗΝΙΑ ΠΡΩΤΗΣ ΕΓΚΡΙΣΗΣ/ΑΝΑΝΕΩΣΗΣ ΤΗΣ ΑΔΕΙΑΣ</w:t>
      </w:r>
    </w:p>
    <w:p w14:paraId="1EC16772" w14:textId="77777777" w:rsidR="00496809" w:rsidRPr="002141F4" w:rsidRDefault="00496809" w:rsidP="00FF6CD5">
      <w:pPr>
        <w:spacing w:line="360" w:lineRule="auto"/>
        <w:rPr>
          <w:szCs w:val="22"/>
        </w:rPr>
      </w:pPr>
    </w:p>
    <w:p w14:paraId="7CAA3276" w14:textId="77777777" w:rsidR="00B549A0" w:rsidRPr="002141F4" w:rsidRDefault="00B549A0" w:rsidP="00FF6CD5">
      <w:pPr>
        <w:spacing w:line="360" w:lineRule="auto"/>
        <w:rPr>
          <w:noProof/>
          <w:szCs w:val="22"/>
        </w:rPr>
      </w:pPr>
      <w:r w:rsidRPr="002141F4">
        <w:rPr>
          <w:noProof/>
          <w:szCs w:val="22"/>
        </w:rPr>
        <w:t xml:space="preserve">Ημερομηνία πρώτης έγκρισης: </w:t>
      </w:r>
      <w:r w:rsidR="00AB0ED0" w:rsidRPr="002141F4">
        <w:rPr>
          <w:noProof/>
          <w:szCs w:val="22"/>
        </w:rPr>
        <w:t>02 Μαΐου 2007</w:t>
      </w:r>
    </w:p>
    <w:p w14:paraId="285EE5F5" w14:textId="77777777" w:rsidR="00496809" w:rsidRPr="002141F4" w:rsidRDefault="00B549A0" w:rsidP="00FF6CD5">
      <w:pPr>
        <w:spacing w:line="360" w:lineRule="auto"/>
        <w:rPr>
          <w:noProof/>
          <w:szCs w:val="22"/>
        </w:rPr>
      </w:pPr>
      <w:r w:rsidRPr="002141F4">
        <w:rPr>
          <w:noProof/>
          <w:szCs w:val="22"/>
        </w:rPr>
        <w:t xml:space="preserve">Ημερομηνία τελευταίας ανανέωσης: </w:t>
      </w:r>
      <w:r w:rsidR="00AB0ED0" w:rsidRPr="002141F4">
        <w:rPr>
          <w:noProof/>
          <w:szCs w:val="22"/>
        </w:rPr>
        <w:t>16 Ιανουαρίου 20</w:t>
      </w:r>
      <w:r w:rsidR="00082428" w:rsidRPr="002141F4">
        <w:rPr>
          <w:noProof/>
          <w:szCs w:val="22"/>
        </w:rPr>
        <w:t>09</w:t>
      </w:r>
    </w:p>
    <w:p w14:paraId="5BA8C30A" w14:textId="77777777" w:rsidR="00E80D00" w:rsidRPr="002141F4" w:rsidRDefault="00E80D00" w:rsidP="00FF6CD5">
      <w:pPr>
        <w:spacing w:line="360" w:lineRule="auto"/>
        <w:rPr>
          <w:szCs w:val="22"/>
        </w:rPr>
      </w:pPr>
    </w:p>
    <w:p w14:paraId="744F4B12" w14:textId="77777777" w:rsidR="00E13E8A" w:rsidRPr="002141F4" w:rsidRDefault="00496809" w:rsidP="00E13E8A">
      <w:pPr>
        <w:tabs>
          <w:tab w:val="left" w:pos="709"/>
        </w:tabs>
        <w:rPr>
          <w:szCs w:val="22"/>
        </w:rPr>
      </w:pPr>
      <w:r w:rsidRPr="002141F4">
        <w:rPr>
          <w:b/>
          <w:szCs w:val="22"/>
        </w:rPr>
        <w:t>10.</w:t>
      </w:r>
      <w:r w:rsidRPr="002141F4">
        <w:rPr>
          <w:b/>
          <w:szCs w:val="22"/>
        </w:rPr>
        <w:tab/>
        <w:t>ΗΜΕΡΟΜΗΝΙΑ ΑΝΑΘΕΩΡΗΣΗΣ ΤΟΥ ΚΕΙΜΕΝΟΥ</w:t>
      </w:r>
    </w:p>
    <w:p w14:paraId="20FFD5B8" w14:textId="77777777" w:rsidR="00E13E8A" w:rsidRPr="002141F4" w:rsidRDefault="00E13E8A" w:rsidP="00E13E8A">
      <w:pPr>
        <w:tabs>
          <w:tab w:val="left" w:pos="709"/>
        </w:tabs>
        <w:rPr>
          <w:szCs w:val="22"/>
        </w:rPr>
      </w:pPr>
    </w:p>
    <w:p w14:paraId="2C28CDD1" w14:textId="269D6E77" w:rsidR="00B97A61" w:rsidRPr="004B0284" w:rsidRDefault="004B0284" w:rsidP="00FF6CD5">
      <w:pPr>
        <w:tabs>
          <w:tab w:val="left" w:pos="709"/>
        </w:tabs>
        <w:spacing w:line="360" w:lineRule="auto"/>
        <w:rPr>
          <w:szCs w:val="22"/>
          <w:lang w:val="en-US"/>
        </w:rPr>
      </w:pPr>
      <w:r>
        <w:rPr>
          <w:szCs w:val="22"/>
          <w:lang w:val="en-US"/>
        </w:rPr>
        <w:t>12/2023</w:t>
      </w:r>
    </w:p>
    <w:sectPr w:rsidR="00B97A61" w:rsidRPr="004B0284" w:rsidSect="001328CF">
      <w:footerReference w:type="default" r:id="rId13"/>
      <w:footerReference w:type="first" r:id="rId14"/>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531C" w14:textId="77777777" w:rsidR="00FD6C10" w:rsidRDefault="00FD6C10">
      <w:r>
        <w:separator/>
      </w:r>
    </w:p>
  </w:endnote>
  <w:endnote w:type="continuationSeparator" w:id="0">
    <w:p w14:paraId="4309F525" w14:textId="77777777" w:rsidR="00FD6C10" w:rsidRDefault="00FD6C10">
      <w:r>
        <w:continuationSeparator/>
      </w:r>
    </w:p>
  </w:endnote>
  <w:endnote w:type="continuationNotice" w:id="1">
    <w:p w14:paraId="758D51C5" w14:textId="77777777" w:rsidR="00FD6C10" w:rsidRDefault="00FD6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9614" w14:textId="77777777" w:rsidR="00E30D83" w:rsidRPr="008A3679" w:rsidRDefault="00E30D83" w:rsidP="008A3679">
    <w:pPr>
      <w:pStyle w:val="Footer"/>
      <w:tabs>
        <w:tab w:val="clear" w:pos="4153"/>
        <w:tab w:val="clear" w:pos="8306"/>
        <w:tab w:val="center" w:pos="4536"/>
        <w:tab w:val="center" w:pos="8930"/>
      </w:tabs>
      <w:rPr>
        <w:sz w:val="14"/>
        <w:szCs w:val="14"/>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C97C" w14:textId="2DBDDA00" w:rsidR="00E30D83" w:rsidRPr="00DF1FC3" w:rsidRDefault="00E30D83" w:rsidP="008A3679">
    <w:pPr>
      <w:pStyle w:val="Footer"/>
      <w:tabs>
        <w:tab w:val="clear" w:pos="4153"/>
        <w:tab w:val="clear" w:pos="8306"/>
        <w:tab w:val="center" w:pos="4536"/>
        <w:tab w:val="center" w:pos="8930"/>
      </w:tabs>
      <w:rPr>
        <w:sz w:val="14"/>
        <w:szCs w:val="14"/>
        <w:lang w:val="en-US"/>
      </w:rPr>
    </w:pPr>
    <w:r w:rsidRPr="008A3679">
      <w:rPr>
        <w:sz w:val="14"/>
        <w:szCs w:val="14"/>
        <w:lang w:val="fr-FR"/>
      </w:rPr>
      <w:fldChar w:fldCharType="begin"/>
    </w:r>
    <w:r w:rsidRPr="00DF1FC3">
      <w:rPr>
        <w:sz w:val="14"/>
        <w:szCs w:val="14"/>
        <w:lang w:val="en-US"/>
      </w:rPr>
      <w:instrText xml:space="preserve"> FILENAME  \p  \* MERGEFORMAT </w:instrText>
    </w:r>
    <w:r w:rsidRPr="008A3679">
      <w:rPr>
        <w:sz w:val="14"/>
        <w:szCs w:val="14"/>
        <w:lang w:val="fr-FR"/>
      </w:rPr>
      <w:fldChar w:fldCharType="separate"/>
    </w:r>
    <w:r w:rsidR="00DF1FC3" w:rsidRPr="00DF1FC3">
      <w:rPr>
        <w:noProof/>
        <w:sz w:val="14"/>
        <w:szCs w:val="14"/>
        <w:lang w:val="en-US"/>
      </w:rPr>
      <w:t>S:\</w:t>
    </w:r>
    <w:r w:rsidR="00DF1FC3">
      <w:rPr>
        <w:noProof/>
        <w:sz w:val="14"/>
        <w:szCs w:val="14"/>
        <w:lang w:val="fr-FR"/>
      </w:rPr>
      <w:t>ΕΟΦ</w:t>
    </w:r>
    <w:r w:rsidR="00DF1FC3" w:rsidRPr="00DF1FC3">
      <w:rPr>
        <w:noProof/>
        <w:sz w:val="14"/>
        <w:szCs w:val="14"/>
        <w:lang w:val="en-US"/>
      </w:rPr>
      <w:t>\</w:t>
    </w:r>
    <w:r w:rsidR="00DF1FC3">
      <w:rPr>
        <w:noProof/>
        <w:sz w:val="14"/>
        <w:szCs w:val="14"/>
        <w:lang w:val="fr-FR"/>
      </w:rPr>
      <w:t>ΕΟΦ</w:t>
    </w:r>
    <w:r w:rsidR="00DF1FC3" w:rsidRPr="00DF1FC3">
      <w:rPr>
        <w:noProof/>
        <w:sz w:val="14"/>
        <w:szCs w:val="14"/>
        <w:lang w:val="en-US"/>
      </w:rPr>
      <w:t>_</w:t>
    </w:r>
    <w:r w:rsidR="00DF1FC3">
      <w:rPr>
        <w:noProof/>
        <w:sz w:val="14"/>
        <w:szCs w:val="14"/>
        <w:lang w:val="fr-FR"/>
      </w:rPr>
      <w:t>ΤΡΟΠΟΠΟΙΗΣΕΙΣ</w:t>
    </w:r>
    <w:r w:rsidR="00DF1FC3" w:rsidRPr="00DF1FC3">
      <w:rPr>
        <w:noProof/>
        <w:sz w:val="14"/>
        <w:szCs w:val="14"/>
        <w:lang w:val="en-US"/>
      </w:rPr>
      <w:t>\A1_PRODUCT PROJECTS\HALEON LENC GR\LENC GR National products\PI\Panadol oral suspension\el-spc-panadol oral suspension-proposed-gr02-track-oct2023.docx</w:t>
    </w:r>
    <w:r w:rsidRPr="008A3679">
      <w:rPr>
        <w:sz w:val="14"/>
        <w:szCs w:val="14"/>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00A2" w14:textId="77777777" w:rsidR="00FD6C10" w:rsidRDefault="00FD6C10">
      <w:r>
        <w:separator/>
      </w:r>
    </w:p>
  </w:footnote>
  <w:footnote w:type="continuationSeparator" w:id="0">
    <w:p w14:paraId="0E7023BB" w14:textId="77777777" w:rsidR="00FD6C10" w:rsidRDefault="00FD6C10">
      <w:r>
        <w:continuationSeparator/>
      </w:r>
    </w:p>
  </w:footnote>
  <w:footnote w:type="continuationNotice" w:id="1">
    <w:p w14:paraId="4200D527" w14:textId="77777777" w:rsidR="00FD6C10" w:rsidRDefault="00FD6C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F7D4C"/>
    <w:multiLevelType w:val="hybridMultilevel"/>
    <w:tmpl w:val="53566CB0"/>
    <w:lvl w:ilvl="0" w:tplc="91AC1582">
      <w:start w:val="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4864D5"/>
    <w:multiLevelType w:val="hybridMultilevel"/>
    <w:tmpl w:val="69F41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782817"/>
    <w:multiLevelType w:val="hybridMultilevel"/>
    <w:tmpl w:val="6174334E"/>
    <w:lvl w:ilvl="0" w:tplc="91AC1582">
      <w:start w:val="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A1D00DB"/>
    <w:multiLevelType w:val="hybridMultilevel"/>
    <w:tmpl w:val="1A78B4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623CEE"/>
    <w:multiLevelType w:val="hybridMultilevel"/>
    <w:tmpl w:val="066EE368"/>
    <w:lvl w:ilvl="0" w:tplc="A5A8A98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50039AE"/>
    <w:multiLevelType w:val="hybridMultilevel"/>
    <w:tmpl w:val="B0589876"/>
    <w:lvl w:ilvl="0" w:tplc="437E9E42">
      <w:start w:val="6"/>
      <w:numFmt w:val="bullet"/>
      <w:lvlText w:val="-"/>
      <w:lvlJc w:val="left"/>
      <w:pPr>
        <w:tabs>
          <w:tab w:val="num" w:pos="1050"/>
        </w:tabs>
        <w:ind w:left="1050" w:hanging="69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947BF0"/>
    <w:multiLevelType w:val="hybridMultilevel"/>
    <w:tmpl w:val="7C9E3D26"/>
    <w:lvl w:ilvl="0" w:tplc="91AC1582">
      <w:start w:val="6"/>
      <w:numFmt w:val="bullet"/>
      <w:lvlText w:val="-"/>
      <w:lvlJc w:val="left"/>
      <w:pPr>
        <w:tabs>
          <w:tab w:val="num" w:pos="1050"/>
        </w:tabs>
        <w:ind w:left="1050" w:hanging="69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B47E6"/>
    <w:multiLevelType w:val="hybridMultilevel"/>
    <w:tmpl w:val="54CC6D20"/>
    <w:lvl w:ilvl="0" w:tplc="91AC1582">
      <w:start w:val="6"/>
      <w:numFmt w:val="bullet"/>
      <w:lvlText w:val="-"/>
      <w:lvlJc w:val="left"/>
      <w:pPr>
        <w:ind w:left="720" w:hanging="360"/>
      </w:pPr>
      <w:rPr>
        <w:rFonts w:ascii="Times New Roman" w:eastAsia="Times New Roman" w:hAnsi="Times New Roman" w:cs="Times New Roman" w:hint="default"/>
      </w:rPr>
    </w:lvl>
    <w:lvl w:ilvl="1" w:tplc="D5ACDD94">
      <w:numFmt w:val="bullet"/>
      <w:lvlText w:val="•"/>
      <w:lvlJc w:val="left"/>
      <w:pPr>
        <w:ind w:left="1800" w:hanging="72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E163E6"/>
    <w:multiLevelType w:val="hybridMultilevel"/>
    <w:tmpl w:val="8482F5B8"/>
    <w:lvl w:ilvl="0" w:tplc="91AC1582">
      <w:start w:val="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B07258"/>
    <w:multiLevelType w:val="multilevel"/>
    <w:tmpl w:val="F75069E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3E9105B"/>
    <w:multiLevelType w:val="hybridMultilevel"/>
    <w:tmpl w:val="D80867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AA4312D"/>
    <w:multiLevelType w:val="hybridMultilevel"/>
    <w:tmpl w:val="D0B8DB20"/>
    <w:lvl w:ilvl="0" w:tplc="81A03DD0">
      <w:start w:val="10"/>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5F6774C"/>
    <w:multiLevelType w:val="multilevel"/>
    <w:tmpl w:val="FBFA2A9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7436503"/>
    <w:multiLevelType w:val="hybridMultilevel"/>
    <w:tmpl w:val="C09256E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5" w15:restartNumberingAfterBreak="0">
    <w:nsid w:val="6F433B24"/>
    <w:multiLevelType w:val="hybridMultilevel"/>
    <w:tmpl w:val="AD1A2EDE"/>
    <w:lvl w:ilvl="0" w:tplc="4152636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F16FE"/>
    <w:multiLevelType w:val="hybridMultilevel"/>
    <w:tmpl w:val="9C365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3013DB5"/>
    <w:multiLevelType w:val="hybridMultilevel"/>
    <w:tmpl w:val="82929552"/>
    <w:lvl w:ilvl="0" w:tplc="3D8CB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465FC6"/>
    <w:multiLevelType w:val="hybridMultilevel"/>
    <w:tmpl w:val="97503EA2"/>
    <w:lvl w:ilvl="0" w:tplc="7124FE8A">
      <w:start w:val="6"/>
      <w:numFmt w:val="bullet"/>
      <w:lvlText w:val="-"/>
      <w:lvlJc w:val="left"/>
      <w:pPr>
        <w:tabs>
          <w:tab w:val="num" w:pos="1110"/>
        </w:tabs>
        <w:ind w:left="1110" w:hanging="75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422143688">
    <w:abstractNumId w:val="5"/>
  </w:num>
  <w:num w:numId="2" w16cid:durableId="222757930">
    <w:abstractNumId w:val="21"/>
  </w:num>
  <w:num w:numId="3" w16cid:durableId="839734787">
    <w:abstractNumId w:val="0"/>
    <w:lvlOverride w:ilvl="0">
      <w:lvl w:ilvl="0">
        <w:start w:val="1"/>
        <w:numFmt w:val="bullet"/>
        <w:lvlText w:val="-"/>
        <w:legacy w:legacy="1" w:legacySpace="0" w:legacyIndent="360"/>
        <w:lvlJc w:val="left"/>
        <w:pPr>
          <w:ind w:left="360" w:hanging="360"/>
        </w:pPr>
      </w:lvl>
    </w:lvlOverride>
  </w:num>
  <w:num w:numId="4" w16cid:durableId="14404918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47439251">
    <w:abstractNumId w:val="24"/>
  </w:num>
  <w:num w:numId="6" w16cid:durableId="652029629">
    <w:abstractNumId w:val="23"/>
  </w:num>
  <w:num w:numId="7" w16cid:durableId="246771724">
    <w:abstractNumId w:val="10"/>
  </w:num>
  <w:num w:numId="8" w16cid:durableId="2068337296">
    <w:abstractNumId w:val="19"/>
  </w:num>
  <w:num w:numId="9" w16cid:durableId="1872062098">
    <w:abstractNumId w:val="16"/>
  </w:num>
  <w:num w:numId="10" w16cid:durableId="1946837796">
    <w:abstractNumId w:val="7"/>
  </w:num>
  <w:num w:numId="11" w16cid:durableId="341516140">
    <w:abstractNumId w:val="22"/>
  </w:num>
  <w:num w:numId="12" w16cid:durableId="2033451291">
    <w:abstractNumId w:val="1"/>
  </w:num>
  <w:num w:numId="13" w16cid:durableId="491027388">
    <w:abstractNumId w:val="17"/>
  </w:num>
  <w:num w:numId="14" w16cid:durableId="2010789400">
    <w:abstractNumId w:val="28"/>
  </w:num>
  <w:num w:numId="15" w16cid:durableId="1398354568">
    <w:abstractNumId w:val="9"/>
  </w:num>
  <w:num w:numId="16" w16cid:durableId="1386443171">
    <w:abstractNumId w:val="11"/>
  </w:num>
  <w:num w:numId="17" w16cid:durableId="1265963005">
    <w:abstractNumId w:val="25"/>
  </w:num>
  <w:num w:numId="18" w16cid:durableId="1734618921">
    <w:abstractNumId w:val="14"/>
  </w:num>
  <w:num w:numId="19" w16cid:durableId="2082749972">
    <w:abstractNumId w:val="27"/>
  </w:num>
  <w:num w:numId="20" w16cid:durableId="127011839">
    <w:abstractNumId w:val="6"/>
  </w:num>
  <w:num w:numId="21" w16cid:durableId="1160537448">
    <w:abstractNumId w:val="20"/>
  </w:num>
  <w:num w:numId="22" w16cid:durableId="1558080846">
    <w:abstractNumId w:val="3"/>
  </w:num>
  <w:num w:numId="23" w16cid:durableId="446698984">
    <w:abstractNumId w:val="13"/>
  </w:num>
  <w:num w:numId="24" w16cid:durableId="1511945481">
    <w:abstractNumId w:val="26"/>
  </w:num>
  <w:num w:numId="25" w16cid:durableId="683746087">
    <w:abstractNumId w:val="4"/>
  </w:num>
  <w:num w:numId="26" w16cid:durableId="1475289472">
    <w:abstractNumId w:val="8"/>
  </w:num>
  <w:num w:numId="27" w16cid:durableId="1861770954">
    <w:abstractNumId w:val="12"/>
  </w:num>
  <w:num w:numId="28" w16cid:durableId="1250584393">
    <w:abstractNumId w:val="18"/>
  </w:num>
  <w:num w:numId="29" w16cid:durableId="2104454794">
    <w:abstractNumId w:val="2"/>
  </w:num>
  <w:num w:numId="30" w16cid:durableId="501631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fr-FR" w:vendorID="64" w:dllVersion="0" w:nlCheck="1" w:checkStyle="0"/>
  <w:activeWritingStyle w:appName="MSWord" w:lang="nl-NL" w:vendorID="9" w:dllVersion="512" w:checkStyle="1"/>
  <w:activeWritingStyle w:appName="MSWord" w:lang="en-US" w:vendorID="8" w:dllVersion="513" w:checkStyle="1"/>
  <w:activeWritingStyle w:appName="MSWord" w:lang="de-DE"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96809"/>
    <w:rsid w:val="00001F62"/>
    <w:rsid w:val="000036CA"/>
    <w:rsid w:val="00003E9C"/>
    <w:rsid w:val="00007F7A"/>
    <w:rsid w:val="000101D2"/>
    <w:rsid w:val="000125B7"/>
    <w:rsid w:val="00013910"/>
    <w:rsid w:val="00016236"/>
    <w:rsid w:val="0002387B"/>
    <w:rsid w:val="000240D2"/>
    <w:rsid w:val="00026BDF"/>
    <w:rsid w:val="000301E9"/>
    <w:rsid w:val="00030E65"/>
    <w:rsid w:val="00031D1A"/>
    <w:rsid w:val="00036B23"/>
    <w:rsid w:val="000403BC"/>
    <w:rsid w:val="00041AC7"/>
    <w:rsid w:val="00041E7F"/>
    <w:rsid w:val="000424A9"/>
    <w:rsid w:val="00047251"/>
    <w:rsid w:val="00056716"/>
    <w:rsid w:val="00056E7E"/>
    <w:rsid w:val="00065352"/>
    <w:rsid w:val="00065364"/>
    <w:rsid w:val="000751FF"/>
    <w:rsid w:val="000772FE"/>
    <w:rsid w:val="00077697"/>
    <w:rsid w:val="00081DF9"/>
    <w:rsid w:val="00082428"/>
    <w:rsid w:val="0008546F"/>
    <w:rsid w:val="0009263E"/>
    <w:rsid w:val="00093447"/>
    <w:rsid w:val="000940DD"/>
    <w:rsid w:val="000A2975"/>
    <w:rsid w:val="000B30D5"/>
    <w:rsid w:val="000C32A8"/>
    <w:rsid w:val="000C5034"/>
    <w:rsid w:val="000D14B5"/>
    <w:rsid w:val="000D2837"/>
    <w:rsid w:val="000D34B7"/>
    <w:rsid w:val="000D423E"/>
    <w:rsid w:val="000D521A"/>
    <w:rsid w:val="000E226F"/>
    <w:rsid w:val="000F3AE1"/>
    <w:rsid w:val="0010327A"/>
    <w:rsid w:val="00104BF9"/>
    <w:rsid w:val="001056BE"/>
    <w:rsid w:val="00106529"/>
    <w:rsid w:val="00110DE4"/>
    <w:rsid w:val="001119AC"/>
    <w:rsid w:val="00115560"/>
    <w:rsid w:val="00116730"/>
    <w:rsid w:val="00125B4C"/>
    <w:rsid w:val="001328CF"/>
    <w:rsid w:val="00134583"/>
    <w:rsid w:val="001403F2"/>
    <w:rsid w:val="00140F25"/>
    <w:rsid w:val="0014220B"/>
    <w:rsid w:val="0014602B"/>
    <w:rsid w:val="001465A0"/>
    <w:rsid w:val="001506AC"/>
    <w:rsid w:val="00154E4A"/>
    <w:rsid w:val="00167F66"/>
    <w:rsid w:val="00172829"/>
    <w:rsid w:val="0018145D"/>
    <w:rsid w:val="00183603"/>
    <w:rsid w:val="00186A38"/>
    <w:rsid w:val="00195DBF"/>
    <w:rsid w:val="00195F86"/>
    <w:rsid w:val="001A4D28"/>
    <w:rsid w:val="001A604D"/>
    <w:rsid w:val="001B29C1"/>
    <w:rsid w:val="001B635C"/>
    <w:rsid w:val="001C0F0B"/>
    <w:rsid w:val="001C35DF"/>
    <w:rsid w:val="001C6019"/>
    <w:rsid w:val="001C7505"/>
    <w:rsid w:val="001D5361"/>
    <w:rsid w:val="001E17E8"/>
    <w:rsid w:val="001E36C2"/>
    <w:rsid w:val="001E5ABD"/>
    <w:rsid w:val="001E7E55"/>
    <w:rsid w:val="001F6A47"/>
    <w:rsid w:val="0020027E"/>
    <w:rsid w:val="00206585"/>
    <w:rsid w:val="0020766D"/>
    <w:rsid w:val="0021150A"/>
    <w:rsid w:val="002141F4"/>
    <w:rsid w:val="0021612F"/>
    <w:rsid w:val="00216E7B"/>
    <w:rsid w:val="0023054A"/>
    <w:rsid w:val="002311F2"/>
    <w:rsid w:val="00234350"/>
    <w:rsid w:val="00236931"/>
    <w:rsid w:val="00237234"/>
    <w:rsid w:val="0024300E"/>
    <w:rsid w:val="002443A1"/>
    <w:rsid w:val="00244A39"/>
    <w:rsid w:val="00246A00"/>
    <w:rsid w:val="00246C7A"/>
    <w:rsid w:val="00251F63"/>
    <w:rsid w:val="00254492"/>
    <w:rsid w:val="002657FD"/>
    <w:rsid w:val="00265A87"/>
    <w:rsid w:val="002673E0"/>
    <w:rsid w:val="00271694"/>
    <w:rsid w:val="00275B32"/>
    <w:rsid w:val="002916E3"/>
    <w:rsid w:val="002A0EBD"/>
    <w:rsid w:val="002A43E5"/>
    <w:rsid w:val="002B12EA"/>
    <w:rsid w:val="002B4A4C"/>
    <w:rsid w:val="002B6615"/>
    <w:rsid w:val="002C58D7"/>
    <w:rsid w:val="002C7789"/>
    <w:rsid w:val="002D0FA1"/>
    <w:rsid w:val="002D2C85"/>
    <w:rsid w:val="002D4D99"/>
    <w:rsid w:val="002D707A"/>
    <w:rsid w:val="002D7A8F"/>
    <w:rsid w:val="002D7DCD"/>
    <w:rsid w:val="002E0AD1"/>
    <w:rsid w:val="002E3348"/>
    <w:rsid w:val="002E58F2"/>
    <w:rsid w:val="002E7CF1"/>
    <w:rsid w:val="002F4F94"/>
    <w:rsid w:val="00300D3D"/>
    <w:rsid w:val="00302D10"/>
    <w:rsid w:val="00315025"/>
    <w:rsid w:val="003155AA"/>
    <w:rsid w:val="0031707B"/>
    <w:rsid w:val="00323150"/>
    <w:rsid w:val="00326F89"/>
    <w:rsid w:val="00327A15"/>
    <w:rsid w:val="0033081E"/>
    <w:rsid w:val="00334592"/>
    <w:rsid w:val="0033588E"/>
    <w:rsid w:val="003369DB"/>
    <w:rsid w:val="00336AAD"/>
    <w:rsid w:val="0034045B"/>
    <w:rsid w:val="003406BD"/>
    <w:rsid w:val="00341507"/>
    <w:rsid w:val="003435AD"/>
    <w:rsid w:val="003503E4"/>
    <w:rsid w:val="00350C6D"/>
    <w:rsid w:val="003521A1"/>
    <w:rsid w:val="00366675"/>
    <w:rsid w:val="00370430"/>
    <w:rsid w:val="00376A3F"/>
    <w:rsid w:val="003808CD"/>
    <w:rsid w:val="00385388"/>
    <w:rsid w:val="00385E4E"/>
    <w:rsid w:val="00394D3E"/>
    <w:rsid w:val="003A0699"/>
    <w:rsid w:val="003A16E2"/>
    <w:rsid w:val="003A3AEE"/>
    <w:rsid w:val="003A5BDE"/>
    <w:rsid w:val="003B3901"/>
    <w:rsid w:val="003B4BF5"/>
    <w:rsid w:val="003C0467"/>
    <w:rsid w:val="003C2892"/>
    <w:rsid w:val="003C4FA3"/>
    <w:rsid w:val="003C5F81"/>
    <w:rsid w:val="003D0DF2"/>
    <w:rsid w:val="003D50C8"/>
    <w:rsid w:val="003D725B"/>
    <w:rsid w:val="003D7312"/>
    <w:rsid w:val="003E24E5"/>
    <w:rsid w:val="003E3B95"/>
    <w:rsid w:val="003F223D"/>
    <w:rsid w:val="003F7235"/>
    <w:rsid w:val="00411DB4"/>
    <w:rsid w:val="00412138"/>
    <w:rsid w:val="00417278"/>
    <w:rsid w:val="00422597"/>
    <w:rsid w:val="00423B7D"/>
    <w:rsid w:val="0042780D"/>
    <w:rsid w:val="004357BB"/>
    <w:rsid w:val="00441CEE"/>
    <w:rsid w:val="0045257F"/>
    <w:rsid w:val="00457743"/>
    <w:rsid w:val="00462958"/>
    <w:rsid w:val="00462EAE"/>
    <w:rsid w:val="00464262"/>
    <w:rsid w:val="004647CF"/>
    <w:rsid w:val="00470E50"/>
    <w:rsid w:val="0047347A"/>
    <w:rsid w:val="00474A45"/>
    <w:rsid w:val="0048083C"/>
    <w:rsid w:val="004824C8"/>
    <w:rsid w:val="004843F1"/>
    <w:rsid w:val="00485503"/>
    <w:rsid w:val="004859E5"/>
    <w:rsid w:val="004879DC"/>
    <w:rsid w:val="00494123"/>
    <w:rsid w:val="004953ED"/>
    <w:rsid w:val="004961CD"/>
    <w:rsid w:val="00496809"/>
    <w:rsid w:val="004A68F0"/>
    <w:rsid w:val="004A7783"/>
    <w:rsid w:val="004B0284"/>
    <w:rsid w:val="004B1477"/>
    <w:rsid w:val="004B22CF"/>
    <w:rsid w:val="004C4D72"/>
    <w:rsid w:val="004C5D01"/>
    <w:rsid w:val="004C6D3B"/>
    <w:rsid w:val="004D3328"/>
    <w:rsid w:val="004D6F7C"/>
    <w:rsid w:val="004E1D99"/>
    <w:rsid w:val="004E37A3"/>
    <w:rsid w:val="004F28AF"/>
    <w:rsid w:val="004F4B10"/>
    <w:rsid w:val="00501021"/>
    <w:rsid w:val="00501417"/>
    <w:rsid w:val="00525884"/>
    <w:rsid w:val="00532084"/>
    <w:rsid w:val="005377B3"/>
    <w:rsid w:val="00537C64"/>
    <w:rsid w:val="005414C1"/>
    <w:rsid w:val="0054214E"/>
    <w:rsid w:val="005429C8"/>
    <w:rsid w:val="00542F6D"/>
    <w:rsid w:val="00544125"/>
    <w:rsid w:val="00544D4B"/>
    <w:rsid w:val="00554118"/>
    <w:rsid w:val="00557E4E"/>
    <w:rsid w:val="005611C2"/>
    <w:rsid w:val="00561D57"/>
    <w:rsid w:val="005674BF"/>
    <w:rsid w:val="00567D5E"/>
    <w:rsid w:val="00571397"/>
    <w:rsid w:val="0057449D"/>
    <w:rsid w:val="00582D6C"/>
    <w:rsid w:val="0058463F"/>
    <w:rsid w:val="00585BE2"/>
    <w:rsid w:val="00586049"/>
    <w:rsid w:val="00591468"/>
    <w:rsid w:val="00592C36"/>
    <w:rsid w:val="005942B8"/>
    <w:rsid w:val="00594861"/>
    <w:rsid w:val="005A2CE1"/>
    <w:rsid w:val="005A4DBD"/>
    <w:rsid w:val="005A5B68"/>
    <w:rsid w:val="005A664E"/>
    <w:rsid w:val="005A7019"/>
    <w:rsid w:val="005B23F0"/>
    <w:rsid w:val="005B5C66"/>
    <w:rsid w:val="005B5ECA"/>
    <w:rsid w:val="005B63EA"/>
    <w:rsid w:val="005C5540"/>
    <w:rsid w:val="005D2C77"/>
    <w:rsid w:val="005D5488"/>
    <w:rsid w:val="005E1436"/>
    <w:rsid w:val="005E2E73"/>
    <w:rsid w:val="005E55A0"/>
    <w:rsid w:val="005F0584"/>
    <w:rsid w:val="005F2A58"/>
    <w:rsid w:val="005F4143"/>
    <w:rsid w:val="005F724C"/>
    <w:rsid w:val="005F7259"/>
    <w:rsid w:val="006023CD"/>
    <w:rsid w:val="006142E0"/>
    <w:rsid w:val="00621055"/>
    <w:rsid w:val="006255B5"/>
    <w:rsid w:val="006272E9"/>
    <w:rsid w:val="00650705"/>
    <w:rsid w:val="006558C1"/>
    <w:rsid w:val="00677ABF"/>
    <w:rsid w:val="006859A2"/>
    <w:rsid w:val="00687B4C"/>
    <w:rsid w:val="006920E0"/>
    <w:rsid w:val="006A28BE"/>
    <w:rsid w:val="006A4F76"/>
    <w:rsid w:val="006A5806"/>
    <w:rsid w:val="006B15EA"/>
    <w:rsid w:val="006B1AE7"/>
    <w:rsid w:val="006B3C70"/>
    <w:rsid w:val="006B40D4"/>
    <w:rsid w:val="006B58B2"/>
    <w:rsid w:val="006B5E37"/>
    <w:rsid w:val="006B6409"/>
    <w:rsid w:val="006C00DF"/>
    <w:rsid w:val="006C0619"/>
    <w:rsid w:val="006C08D1"/>
    <w:rsid w:val="006C4840"/>
    <w:rsid w:val="006D3646"/>
    <w:rsid w:val="006D75F1"/>
    <w:rsid w:val="006E27CE"/>
    <w:rsid w:val="006E2F26"/>
    <w:rsid w:val="006E441A"/>
    <w:rsid w:val="006E6AA9"/>
    <w:rsid w:val="006F09EB"/>
    <w:rsid w:val="006F3806"/>
    <w:rsid w:val="006F44E1"/>
    <w:rsid w:val="006F6AEF"/>
    <w:rsid w:val="0070056D"/>
    <w:rsid w:val="00700ECE"/>
    <w:rsid w:val="0070233E"/>
    <w:rsid w:val="00705042"/>
    <w:rsid w:val="00706A54"/>
    <w:rsid w:val="00710541"/>
    <w:rsid w:val="00714C8C"/>
    <w:rsid w:val="00721FD0"/>
    <w:rsid w:val="007251EB"/>
    <w:rsid w:val="0072574E"/>
    <w:rsid w:val="00727AD1"/>
    <w:rsid w:val="0073090C"/>
    <w:rsid w:val="00730D32"/>
    <w:rsid w:val="00732C8D"/>
    <w:rsid w:val="00733902"/>
    <w:rsid w:val="00735284"/>
    <w:rsid w:val="00741442"/>
    <w:rsid w:val="00743553"/>
    <w:rsid w:val="00755273"/>
    <w:rsid w:val="0076194A"/>
    <w:rsid w:val="0076469E"/>
    <w:rsid w:val="00767BCA"/>
    <w:rsid w:val="00771433"/>
    <w:rsid w:val="007718CC"/>
    <w:rsid w:val="00771A90"/>
    <w:rsid w:val="00776785"/>
    <w:rsid w:val="00777EA1"/>
    <w:rsid w:val="00782717"/>
    <w:rsid w:val="00786AD6"/>
    <w:rsid w:val="00786D07"/>
    <w:rsid w:val="00790B66"/>
    <w:rsid w:val="00797B43"/>
    <w:rsid w:val="007A2034"/>
    <w:rsid w:val="007A3A38"/>
    <w:rsid w:val="007A4F97"/>
    <w:rsid w:val="007A5212"/>
    <w:rsid w:val="007A6584"/>
    <w:rsid w:val="007A6EEC"/>
    <w:rsid w:val="007A7048"/>
    <w:rsid w:val="007C7945"/>
    <w:rsid w:val="007D66FA"/>
    <w:rsid w:val="007D7160"/>
    <w:rsid w:val="007E1266"/>
    <w:rsid w:val="007F0DD3"/>
    <w:rsid w:val="007F4D8D"/>
    <w:rsid w:val="007F4DF5"/>
    <w:rsid w:val="00800A1C"/>
    <w:rsid w:val="00803C43"/>
    <w:rsid w:val="00805865"/>
    <w:rsid w:val="00805DFB"/>
    <w:rsid w:val="008130CB"/>
    <w:rsid w:val="00813E19"/>
    <w:rsid w:val="00826106"/>
    <w:rsid w:val="00826B25"/>
    <w:rsid w:val="00837EC5"/>
    <w:rsid w:val="00842740"/>
    <w:rsid w:val="0084352F"/>
    <w:rsid w:val="0084400C"/>
    <w:rsid w:val="00844D79"/>
    <w:rsid w:val="00844F56"/>
    <w:rsid w:val="00846349"/>
    <w:rsid w:val="008473E6"/>
    <w:rsid w:val="00847710"/>
    <w:rsid w:val="00847BF0"/>
    <w:rsid w:val="00850692"/>
    <w:rsid w:val="00853506"/>
    <w:rsid w:val="00853936"/>
    <w:rsid w:val="00861159"/>
    <w:rsid w:val="0086483B"/>
    <w:rsid w:val="0087695C"/>
    <w:rsid w:val="008777F0"/>
    <w:rsid w:val="00893E94"/>
    <w:rsid w:val="00896594"/>
    <w:rsid w:val="008A05B0"/>
    <w:rsid w:val="008A13FE"/>
    <w:rsid w:val="008A3679"/>
    <w:rsid w:val="008A3D7B"/>
    <w:rsid w:val="008C3686"/>
    <w:rsid w:val="008C4690"/>
    <w:rsid w:val="008C5D3C"/>
    <w:rsid w:val="008D4C58"/>
    <w:rsid w:val="008E2F73"/>
    <w:rsid w:val="008E412D"/>
    <w:rsid w:val="0090167A"/>
    <w:rsid w:val="00903AAD"/>
    <w:rsid w:val="00906B96"/>
    <w:rsid w:val="00912455"/>
    <w:rsid w:val="00915398"/>
    <w:rsid w:val="009154EB"/>
    <w:rsid w:val="00920548"/>
    <w:rsid w:val="009254F5"/>
    <w:rsid w:val="0092599D"/>
    <w:rsid w:val="00926F1C"/>
    <w:rsid w:val="009349A7"/>
    <w:rsid w:val="00935A45"/>
    <w:rsid w:val="009369C9"/>
    <w:rsid w:val="0094593C"/>
    <w:rsid w:val="00960364"/>
    <w:rsid w:val="00965EF7"/>
    <w:rsid w:val="0097462F"/>
    <w:rsid w:val="00983804"/>
    <w:rsid w:val="00990395"/>
    <w:rsid w:val="009917A3"/>
    <w:rsid w:val="00995A43"/>
    <w:rsid w:val="00996372"/>
    <w:rsid w:val="00996730"/>
    <w:rsid w:val="009A5015"/>
    <w:rsid w:val="009A50D9"/>
    <w:rsid w:val="009A6513"/>
    <w:rsid w:val="009A78F8"/>
    <w:rsid w:val="009C1ACA"/>
    <w:rsid w:val="009C3CFC"/>
    <w:rsid w:val="009C4B86"/>
    <w:rsid w:val="009C5580"/>
    <w:rsid w:val="009D293F"/>
    <w:rsid w:val="009D3FAD"/>
    <w:rsid w:val="009E1976"/>
    <w:rsid w:val="009E24DF"/>
    <w:rsid w:val="009E308C"/>
    <w:rsid w:val="009E3909"/>
    <w:rsid w:val="009E3E1C"/>
    <w:rsid w:val="009E6E00"/>
    <w:rsid w:val="009E7EBA"/>
    <w:rsid w:val="009E7F2F"/>
    <w:rsid w:val="009F1F48"/>
    <w:rsid w:val="009F3AFA"/>
    <w:rsid w:val="009F438D"/>
    <w:rsid w:val="009F43C5"/>
    <w:rsid w:val="009F60F4"/>
    <w:rsid w:val="00A014C9"/>
    <w:rsid w:val="00A056A7"/>
    <w:rsid w:val="00A1154B"/>
    <w:rsid w:val="00A24286"/>
    <w:rsid w:val="00A265F3"/>
    <w:rsid w:val="00A2720E"/>
    <w:rsid w:val="00A3381A"/>
    <w:rsid w:val="00A367E2"/>
    <w:rsid w:val="00A40F56"/>
    <w:rsid w:val="00A4477C"/>
    <w:rsid w:val="00A45E23"/>
    <w:rsid w:val="00A45F17"/>
    <w:rsid w:val="00A47326"/>
    <w:rsid w:val="00A50ADF"/>
    <w:rsid w:val="00A52D0B"/>
    <w:rsid w:val="00A5443F"/>
    <w:rsid w:val="00A544E3"/>
    <w:rsid w:val="00A641E6"/>
    <w:rsid w:val="00A66E4E"/>
    <w:rsid w:val="00A67790"/>
    <w:rsid w:val="00A712E2"/>
    <w:rsid w:val="00A73605"/>
    <w:rsid w:val="00A7530F"/>
    <w:rsid w:val="00A77628"/>
    <w:rsid w:val="00A84146"/>
    <w:rsid w:val="00A87B5C"/>
    <w:rsid w:val="00A87E4E"/>
    <w:rsid w:val="00A91044"/>
    <w:rsid w:val="00A92906"/>
    <w:rsid w:val="00A92A45"/>
    <w:rsid w:val="00A9448A"/>
    <w:rsid w:val="00A968A2"/>
    <w:rsid w:val="00A97DAA"/>
    <w:rsid w:val="00AA415F"/>
    <w:rsid w:val="00AA4179"/>
    <w:rsid w:val="00AA54AB"/>
    <w:rsid w:val="00AA684F"/>
    <w:rsid w:val="00AB0ED0"/>
    <w:rsid w:val="00AB19A5"/>
    <w:rsid w:val="00AB1D2B"/>
    <w:rsid w:val="00AB2F6A"/>
    <w:rsid w:val="00AB775D"/>
    <w:rsid w:val="00AD1F60"/>
    <w:rsid w:val="00AE78B9"/>
    <w:rsid w:val="00AF310E"/>
    <w:rsid w:val="00AF56E9"/>
    <w:rsid w:val="00B13A94"/>
    <w:rsid w:val="00B1500D"/>
    <w:rsid w:val="00B1517B"/>
    <w:rsid w:val="00B170DE"/>
    <w:rsid w:val="00B17434"/>
    <w:rsid w:val="00B35B9D"/>
    <w:rsid w:val="00B51432"/>
    <w:rsid w:val="00B53188"/>
    <w:rsid w:val="00B53318"/>
    <w:rsid w:val="00B549A0"/>
    <w:rsid w:val="00B57CD5"/>
    <w:rsid w:val="00B61099"/>
    <w:rsid w:val="00B648A9"/>
    <w:rsid w:val="00B73BB9"/>
    <w:rsid w:val="00B74224"/>
    <w:rsid w:val="00B747A4"/>
    <w:rsid w:val="00B748BF"/>
    <w:rsid w:val="00B80BEC"/>
    <w:rsid w:val="00B8450E"/>
    <w:rsid w:val="00B84E28"/>
    <w:rsid w:val="00B907B4"/>
    <w:rsid w:val="00B909D6"/>
    <w:rsid w:val="00B93B64"/>
    <w:rsid w:val="00B95235"/>
    <w:rsid w:val="00B97A61"/>
    <w:rsid w:val="00BA0EAC"/>
    <w:rsid w:val="00BA6549"/>
    <w:rsid w:val="00BB3632"/>
    <w:rsid w:val="00BB3C2A"/>
    <w:rsid w:val="00BB3DA5"/>
    <w:rsid w:val="00BC020C"/>
    <w:rsid w:val="00BC2706"/>
    <w:rsid w:val="00BC7A1E"/>
    <w:rsid w:val="00BD2E32"/>
    <w:rsid w:val="00BE3B8B"/>
    <w:rsid w:val="00BE78B1"/>
    <w:rsid w:val="00C04255"/>
    <w:rsid w:val="00C0568C"/>
    <w:rsid w:val="00C07410"/>
    <w:rsid w:val="00C123BB"/>
    <w:rsid w:val="00C23599"/>
    <w:rsid w:val="00C247DF"/>
    <w:rsid w:val="00C24B6B"/>
    <w:rsid w:val="00C26BEF"/>
    <w:rsid w:val="00C326D5"/>
    <w:rsid w:val="00C3398A"/>
    <w:rsid w:val="00C414AF"/>
    <w:rsid w:val="00C41E96"/>
    <w:rsid w:val="00C46485"/>
    <w:rsid w:val="00C46773"/>
    <w:rsid w:val="00C573C6"/>
    <w:rsid w:val="00C57AF8"/>
    <w:rsid w:val="00C627F4"/>
    <w:rsid w:val="00C638CC"/>
    <w:rsid w:val="00C67E80"/>
    <w:rsid w:val="00C704A6"/>
    <w:rsid w:val="00C7253D"/>
    <w:rsid w:val="00C731C2"/>
    <w:rsid w:val="00C73402"/>
    <w:rsid w:val="00C73B26"/>
    <w:rsid w:val="00C75BFA"/>
    <w:rsid w:val="00C75E35"/>
    <w:rsid w:val="00C8175C"/>
    <w:rsid w:val="00C926F6"/>
    <w:rsid w:val="00C95834"/>
    <w:rsid w:val="00CA19C2"/>
    <w:rsid w:val="00CB327D"/>
    <w:rsid w:val="00CB5B4E"/>
    <w:rsid w:val="00CB6483"/>
    <w:rsid w:val="00CC129C"/>
    <w:rsid w:val="00CC21B0"/>
    <w:rsid w:val="00CC269E"/>
    <w:rsid w:val="00CC69AA"/>
    <w:rsid w:val="00CD0093"/>
    <w:rsid w:val="00CD335D"/>
    <w:rsid w:val="00CD3C2C"/>
    <w:rsid w:val="00CE3701"/>
    <w:rsid w:val="00CE7DDC"/>
    <w:rsid w:val="00CF5BFD"/>
    <w:rsid w:val="00CF5CA9"/>
    <w:rsid w:val="00CF77AB"/>
    <w:rsid w:val="00CF7B36"/>
    <w:rsid w:val="00D009CA"/>
    <w:rsid w:val="00D02D7B"/>
    <w:rsid w:val="00D114FF"/>
    <w:rsid w:val="00D13699"/>
    <w:rsid w:val="00D238B5"/>
    <w:rsid w:val="00D340F0"/>
    <w:rsid w:val="00D35796"/>
    <w:rsid w:val="00D40CD5"/>
    <w:rsid w:val="00D453FD"/>
    <w:rsid w:val="00D475C9"/>
    <w:rsid w:val="00D50276"/>
    <w:rsid w:val="00D56E07"/>
    <w:rsid w:val="00D57844"/>
    <w:rsid w:val="00D57B2C"/>
    <w:rsid w:val="00D57C34"/>
    <w:rsid w:val="00D62C0D"/>
    <w:rsid w:val="00D64B5A"/>
    <w:rsid w:val="00D64BE0"/>
    <w:rsid w:val="00D74D2B"/>
    <w:rsid w:val="00D81C98"/>
    <w:rsid w:val="00D83319"/>
    <w:rsid w:val="00D872BF"/>
    <w:rsid w:val="00D900B2"/>
    <w:rsid w:val="00D90545"/>
    <w:rsid w:val="00D91B67"/>
    <w:rsid w:val="00D92B6C"/>
    <w:rsid w:val="00D93C90"/>
    <w:rsid w:val="00D960DA"/>
    <w:rsid w:val="00DA2480"/>
    <w:rsid w:val="00DA3506"/>
    <w:rsid w:val="00DA3BAE"/>
    <w:rsid w:val="00DB2A06"/>
    <w:rsid w:val="00DB5FE9"/>
    <w:rsid w:val="00DC43EE"/>
    <w:rsid w:val="00DD24E8"/>
    <w:rsid w:val="00DD6D41"/>
    <w:rsid w:val="00DE38FF"/>
    <w:rsid w:val="00DE4744"/>
    <w:rsid w:val="00DF1FC3"/>
    <w:rsid w:val="00DF3BFB"/>
    <w:rsid w:val="00DF5036"/>
    <w:rsid w:val="00DF6342"/>
    <w:rsid w:val="00E03011"/>
    <w:rsid w:val="00E0367D"/>
    <w:rsid w:val="00E10CF0"/>
    <w:rsid w:val="00E11337"/>
    <w:rsid w:val="00E13C25"/>
    <w:rsid w:val="00E13E8A"/>
    <w:rsid w:val="00E20FE9"/>
    <w:rsid w:val="00E22EB4"/>
    <w:rsid w:val="00E24E34"/>
    <w:rsid w:val="00E302A3"/>
    <w:rsid w:val="00E304D8"/>
    <w:rsid w:val="00E30D83"/>
    <w:rsid w:val="00E311DD"/>
    <w:rsid w:val="00E31307"/>
    <w:rsid w:val="00E3514B"/>
    <w:rsid w:val="00E35A4F"/>
    <w:rsid w:val="00E363CB"/>
    <w:rsid w:val="00E415D5"/>
    <w:rsid w:val="00E477B5"/>
    <w:rsid w:val="00E53DCF"/>
    <w:rsid w:val="00E6178C"/>
    <w:rsid w:val="00E6414F"/>
    <w:rsid w:val="00E642A1"/>
    <w:rsid w:val="00E71071"/>
    <w:rsid w:val="00E748F4"/>
    <w:rsid w:val="00E74FF5"/>
    <w:rsid w:val="00E7656D"/>
    <w:rsid w:val="00E80D00"/>
    <w:rsid w:val="00E8327B"/>
    <w:rsid w:val="00E83E9E"/>
    <w:rsid w:val="00E8618B"/>
    <w:rsid w:val="00E86F43"/>
    <w:rsid w:val="00E87C5F"/>
    <w:rsid w:val="00E9411B"/>
    <w:rsid w:val="00E948D1"/>
    <w:rsid w:val="00EA0D4F"/>
    <w:rsid w:val="00EA4A61"/>
    <w:rsid w:val="00EA60C0"/>
    <w:rsid w:val="00EB0BF8"/>
    <w:rsid w:val="00EC0641"/>
    <w:rsid w:val="00EC2833"/>
    <w:rsid w:val="00EC488D"/>
    <w:rsid w:val="00EC54A5"/>
    <w:rsid w:val="00ED6457"/>
    <w:rsid w:val="00EE053B"/>
    <w:rsid w:val="00EE3A79"/>
    <w:rsid w:val="00EE4295"/>
    <w:rsid w:val="00EE4B03"/>
    <w:rsid w:val="00EF2D27"/>
    <w:rsid w:val="00EF5180"/>
    <w:rsid w:val="00F02D6C"/>
    <w:rsid w:val="00F02D90"/>
    <w:rsid w:val="00F165E2"/>
    <w:rsid w:val="00F16F08"/>
    <w:rsid w:val="00F17452"/>
    <w:rsid w:val="00F2372E"/>
    <w:rsid w:val="00F256B7"/>
    <w:rsid w:val="00F27C6C"/>
    <w:rsid w:val="00F35723"/>
    <w:rsid w:val="00F36F4C"/>
    <w:rsid w:val="00F37219"/>
    <w:rsid w:val="00F40851"/>
    <w:rsid w:val="00F442E4"/>
    <w:rsid w:val="00F4491A"/>
    <w:rsid w:val="00F46206"/>
    <w:rsid w:val="00F513BA"/>
    <w:rsid w:val="00F54935"/>
    <w:rsid w:val="00F559EC"/>
    <w:rsid w:val="00F57B4C"/>
    <w:rsid w:val="00F672C2"/>
    <w:rsid w:val="00F716ED"/>
    <w:rsid w:val="00F7752B"/>
    <w:rsid w:val="00F82B81"/>
    <w:rsid w:val="00F86BC0"/>
    <w:rsid w:val="00F91B24"/>
    <w:rsid w:val="00F92343"/>
    <w:rsid w:val="00F92CC7"/>
    <w:rsid w:val="00F948FA"/>
    <w:rsid w:val="00F968CC"/>
    <w:rsid w:val="00FA06D0"/>
    <w:rsid w:val="00FA1585"/>
    <w:rsid w:val="00FA47FB"/>
    <w:rsid w:val="00FB4361"/>
    <w:rsid w:val="00FB4698"/>
    <w:rsid w:val="00FD3FE7"/>
    <w:rsid w:val="00FD5DB9"/>
    <w:rsid w:val="00FD680E"/>
    <w:rsid w:val="00FD6C10"/>
    <w:rsid w:val="00FE027C"/>
    <w:rsid w:val="00FE16A0"/>
    <w:rsid w:val="00FE57CC"/>
    <w:rsid w:val="00FE5B0A"/>
    <w:rsid w:val="00FE77BD"/>
    <w:rsid w:val="00FF3441"/>
    <w:rsid w:val="00FF44FE"/>
    <w:rsid w:val="00FF4ED1"/>
    <w:rsid w:val="00FF5BE9"/>
    <w:rsid w:val="00FF6CD5"/>
    <w:rsid w:val="00FF7FB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EF7D18"/>
  <w15:chartTrackingRefBased/>
  <w15:docId w15:val="{C0036540-53D9-460E-9D57-76381529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6BD"/>
    <w:pPr>
      <w:widowControl w:val="0"/>
    </w:pPr>
    <w:rPr>
      <w:sz w:val="22"/>
      <w:lang w:eastAsia="en-US"/>
    </w:rPr>
  </w:style>
  <w:style w:type="paragraph" w:styleId="Heading1">
    <w:name w:val="heading 1"/>
    <w:basedOn w:val="Normal"/>
    <w:next w:val="Normal"/>
    <w:qFormat/>
    <w:rsid w:val="003406BD"/>
    <w:pPr>
      <w:keepNext/>
      <w:jc w:val="center"/>
      <w:outlineLvl w:val="0"/>
    </w:pPr>
    <w:rPr>
      <w:b/>
    </w:rPr>
  </w:style>
  <w:style w:type="paragraph" w:styleId="Heading2">
    <w:name w:val="heading 2"/>
    <w:basedOn w:val="Normal"/>
    <w:next w:val="Normal"/>
    <w:qFormat/>
    <w:rsid w:val="003406BD"/>
    <w:pPr>
      <w:keepNext/>
      <w:outlineLvl w:val="1"/>
    </w:pPr>
    <w:rPr>
      <w:b/>
    </w:rPr>
  </w:style>
  <w:style w:type="paragraph" w:styleId="Heading3">
    <w:name w:val="heading 3"/>
    <w:basedOn w:val="Normal"/>
    <w:next w:val="Normal"/>
    <w:link w:val="Heading3Char"/>
    <w:semiHidden/>
    <w:unhideWhenUsed/>
    <w:qFormat/>
    <w:rsid w:val="00FE027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3406BD"/>
    <w:pPr>
      <w:keepNext/>
      <w:tabs>
        <w:tab w:val="left" w:pos="-720"/>
        <w:tab w:val="left" w:pos="567"/>
        <w:tab w:val="left" w:pos="4536"/>
      </w:tabs>
      <w:suppressAutoHyphens/>
      <w:spacing w:line="-260" w:lineRule="auto"/>
      <w:outlineLvl w:val="5"/>
    </w:pPr>
    <w:rPr>
      <w:i/>
      <w:lang w:val="en-GB"/>
    </w:rPr>
  </w:style>
  <w:style w:type="paragraph" w:styleId="Heading7">
    <w:name w:val="heading 7"/>
    <w:basedOn w:val="Normal"/>
    <w:next w:val="Normal"/>
    <w:qFormat/>
    <w:rsid w:val="003406BD"/>
    <w:pPr>
      <w:keepNext/>
      <w:tabs>
        <w:tab w:val="left" w:pos="-720"/>
        <w:tab w:val="left" w:pos="567"/>
        <w:tab w:val="left" w:pos="4536"/>
      </w:tabs>
      <w:suppressAutoHyphens/>
      <w:spacing w:line="-260" w:lineRule="auto"/>
      <w:jc w:val="both"/>
      <w:outlineLvl w:val="6"/>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6BD"/>
    <w:pPr>
      <w:tabs>
        <w:tab w:val="center" w:pos="4153"/>
        <w:tab w:val="right" w:pos="8306"/>
      </w:tabs>
    </w:pPr>
  </w:style>
  <w:style w:type="paragraph" w:styleId="Footer">
    <w:name w:val="footer"/>
    <w:basedOn w:val="Normal"/>
    <w:rsid w:val="003406BD"/>
    <w:pPr>
      <w:tabs>
        <w:tab w:val="center" w:pos="4153"/>
        <w:tab w:val="right" w:pos="8306"/>
      </w:tabs>
    </w:pPr>
  </w:style>
  <w:style w:type="character" w:styleId="PageNumber">
    <w:name w:val="page number"/>
    <w:basedOn w:val="DefaultParagraphFont"/>
    <w:rsid w:val="003406BD"/>
  </w:style>
  <w:style w:type="character" w:styleId="Hyperlink">
    <w:name w:val="Hyperlink"/>
    <w:uiPriority w:val="99"/>
    <w:rsid w:val="003406BD"/>
    <w:rPr>
      <w:color w:val="0000FF"/>
      <w:u w:val="single"/>
    </w:rPr>
  </w:style>
  <w:style w:type="paragraph" w:styleId="BodyText">
    <w:name w:val="Body Text"/>
    <w:basedOn w:val="Normal"/>
    <w:rsid w:val="003406BD"/>
    <w:pPr>
      <w:jc w:val="center"/>
    </w:pPr>
  </w:style>
  <w:style w:type="paragraph" w:styleId="BodyText2">
    <w:name w:val="Body Text 2"/>
    <w:basedOn w:val="Normal"/>
    <w:rsid w:val="003406BD"/>
    <w:rPr>
      <w:color w:val="FF0000"/>
    </w:rPr>
  </w:style>
  <w:style w:type="paragraph" w:customStyle="1" w:styleId="EMEAEnBodyText">
    <w:name w:val="EMEA En Body Text"/>
    <w:basedOn w:val="Normal"/>
    <w:rsid w:val="003406BD"/>
    <w:pPr>
      <w:widowControl/>
      <w:spacing w:before="120" w:after="120"/>
      <w:jc w:val="both"/>
    </w:pPr>
    <w:rPr>
      <w:lang w:val="en-US"/>
    </w:rPr>
  </w:style>
  <w:style w:type="paragraph" w:styleId="BalloonText">
    <w:name w:val="Balloon Text"/>
    <w:basedOn w:val="Normal"/>
    <w:semiHidden/>
    <w:rsid w:val="003406BD"/>
    <w:rPr>
      <w:rFonts w:ascii="Tahoma" w:hAnsi="Tahoma" w:cs="Tahoma"/>
      <w:sz w:val="16"/>
      <w:szCs w:val="16"/>
    </w:rPr>
  </w:style>
  <w:style w:type="character" w:styleId="FollowedHyperlink">
    <w:name w:val="FollowedHyperlink"/>
    <w:rsid w:val="00056716"/>
    <w:rPr>
      <w:color w:val="800080"/>
      <w:u w:val="single"/>
    </w:rPr>
  </w:style>
  <w:style w:type="paragraph" w:customStyle="1" w:styleId="Default">
    <w:name w:val="Default"/>
    <w:rsid w:val="00003E9C"/>
    <w:pPr>
      <w:autoSpaceDE w:val="0"/>
      <w:autoSpaceDN w:val="0"/>
      <w:adjustRightInd w:val="0"/>
    </w:pPr>
    <w:rPr>
      <w:color w:val="000000"/>
      <w:sz w:val="24"/>
      <w:szCs w:val="24"/>
    </w:rPr>
  </w:style>
  <w:style w:type="paragraph" w:styleId="ListParagraph">
    <w:name w:val="List Paragraph"/>
    <w:basedOn w:val="Normal"/>
    <w:uiPriority w:val="34"/>
    <w:qFormat/>
    <w:rsid w:val="00A66E4E"/>
    <w:pPr>
      <w:ind w:left="720"/>
      <w:contextualSpacing/>
    </w:pPr>
  </w:style>
  <w:style w:type="character" w:customStyle="1" w:styleId="HeaderChar">
    <w:name w:val="Header Char"/>
    <w:link w:val="Header"/>
    <w:uiPriority w:val="99"/>
    <w:rsid w:val="000E226F"/>
    <w:rPr>
      <w:sz w:val="22"/>
      <w:lang w:eastAsia="en-US"/>
    </w:rPr>
  </w:style>
  <w:style w:type="character" w:styleId="CommentReference">
    <w:name w:val="annotation reference"/>
    <w:uiPriority w:val="99"/>
    <w:rsid w:val="00B747A4"/>
    <w:rPr>
      <w:sz w:val="16"/>
      <w:szCs w:val="16"/>
    </w:rPr>
  </w:style>
  <w:style w:type="paragraph" w:styleId="CommentText">
    <w:name w:val="annotation text"/>
    <w:basedOn w:val="Normal"/>
    <w:link w:val="CommentTextChar"/>
    <w:uiPriority w:val="99"/>
    <w:rsid w:val="00B747A4"/>
    <w:rPr>
      <w:sz w:val="20"/>
    </w:rPr>
  </w:style>
  <w:style w:type="character" w:customStyle="1" w:styleId="CommentTextChar">
    <w:name w:val="Comment Text Char"/>
    <w:link w:val="CommentText"/>
    <w:uiPriority w:val="99"/>
    <w:rsid w:val="00B747A4"/>
    <w:rPr>
      <w:lang w:eastAsia="en-US"/>
    </w:rPr>
  </w:style>
  <w:style w:type="paragraph" w:styleId="CommentSubject">
    <w:name w:val="annotation subject"/>
    <w:basedOn w:val="CommentText"/>
    <w:next w:val="CommentText"/>
    <w:link w:val="CommentSubjectChar"/>
    <w:rsid w:val="00B747A4"/>
    <w:rPr>
      <w:b/>
      <w:bCs/>
    </w:rPr>
  </w:style>
  <w:style w:type="character" w:customStyle="1" w:styleId="CommentSubjectChar">
    <w:name w:val="Comment Subject Char"/>
    <w:link w:val="CommentSubject"/>
    <w:rsid w:val="00B747A4"/>
    <w:rPr>
      <w:b/>
      <w:bCs/>
      <w:lang w:eastAsia="en-US"/>
    </w:rPr>
  </w:style>
  <w:style w:type="paragraph" w:styleId="Revision">
    <w:name w:val="Revision"/>
    <w:hidden/>
    <w:uiPriority w:val="99"/>
    <w:semiHidden/>
    <w:rsid w:val="00B747A4"/>
    <w:rPr>
      <w:sz w:val="22"/>
      <w:lang w:eastAsia="en-US"/>
    </w:rPr>
  </w:style>
  <w:style w:type="paragraph" w:styleId="NoSpacing">
    <w:name w:val="No Spacing"/>
    <w:uiPriority w:val="1"/>
    <w:qFormat/>
    <w:rsid w:val="003435AD"/>
    <w:pPr>
      <w:widowControl w:val="0"/>
    </w:pPr>
    <w:rPr>
      <w:sz w:val="22"/>
      <w:lang w:eastAsia="en-US"/>
    </w:rPr>
  </w:style>
  <w:style w:type="paragraph" w:styleId="BodyTextIndent">
    <w:name w:val="Body Text Indent"/>
    <w:basedOn w:val="Normal"/>
    <w:link w:val="BodyTextIndentChar"/>
    <w:rsid w:val="00525884"/>
    <w:pPr>
      <w:spacing w:after="120"/>
      <w:ind w:left="283"/>
    </w:pPr>
  </w:style>
  <w:style w:type="character" w:customStyle="1" w:styleId="BodyTextIndentChar">
    <w:name w:val="Body Text Indent Char"/>
    <w:link w:val="BodyTextIndent"/>
    <w:rsid w:val="00525884"/>
    <w:rPr>
      <w:sz w:val="22"/>
      <w:lang w:eastAsia="en-US"/>
    </w:rPr>
  </w:style>
  <w:style w:type="paragraph" w:styleId="BodyTextIndent2">
    <w:name w:val="Body Text Indent 2"/>
    <w:basedOn w:val="Normal"/>
    <w:link w:val="BodyTextIndent2Char"/>
    <w:rsid w:val="00A77628"/>
    <w:pPr>
      <w:spacing w:after="120" w:line="480" w:lineRule="auto"/>
      <w:ind w:left="283"/>
    </w:pPr>
  </w:style>
  <w:style w:type="character" w:customStyle="1" w:styleId="BodyTextIndent2Char">
    <w:name w:val="Body Text Indent 2 Char"/>
    <w:link w:val="BodyTextIndent2"/>
    <w:rsid w:val="00A77628"/>
    <w:rPr>
      <w:sz w:val="22"/>
      <w:lang w:eastAsia="en-US"/>
    </w:rPr>
  </w:style>
  <w:style w:type="table" w:styleId="TableGrid">
    <w:name w:val="Table Grid"/>
    <w:basedOn w:val="TableNormal"/>
    <w:rsid w:val="00EC2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E027C"/>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34">
      <w:bodyDiv w:val="1"/>
      <w:marLeft w:val="0"/>
      <w:marRight w:val="0"/>
      <w:marTop w:val="0"/>
      <w:marBottom w:val="0"/>
      <w:divBdr>
        <w:top w:val="none" w:sz="0" w:space="0" w:color="auto"/>
        <w:left w:val="none" w:sz="0" w:space="0" w:color="auto"/>
        <w:bottom w:val="none" w:sz="0" w:space="0" w:color="auto"/>
        <w:right w:val="none" w:sz="0" w:space="0" w:color="auto"/>
      </w:divBdr>
    </w:div>
    <w:div w:id="198518805">
      <w:bodyDiv w:val="1"/>
      <w:marLeft w:val="0"/>
      <w:marRight w:val="0"/>
      <w:marTop w:val="0"/>
      <w:marBottom w:val="0"/>
      <w:divBdr>
        <w:top w:val="none" w:sz="0" w:space="0" w:color="auto"/>
        <w:left w:val="none" w:sz="0" w:space="0" w:color="auto"/>
        <w:bottom w:val="none" w:sz="0" w:space="0" w:color="auto"/>
        <w:right w:val="none" w:sz="0" w:space="0" w:color="auto"/>
      </w:divBdr>
    </w:div>
    <w:div w:id="550573783">
      <w:bodyDiv w:val="1"/>
      <w:marLeft w:val="0"/>
      <w:marRight w:val="0"/>
      <w:marTop w:val="0"/>
      <w:marBottom w:val="0"/>
      <w:divBdr>
        <w:top w:val="none" w:sz="0" w:space="0" w:color="auto"/>
        <w:left w:val="none" w:sz="0" w:space="0" w:color="auto"/>
        <w:bottom w:val="none" w:sz="0" w:space="0" w:color="auto"/>
        <w:right w:val="none" w:sz="0" w:space="0" w:color="auto"/>
      </w:divBdr>
    </w:div>
    <w:div w:id="631402717">
      <w:bodyDiv w:val="1"/>
      <w:marLeft w:val="0"/>
      <w:marRight w:val="0"/>
      <w:marTop w:val="0"/>
      <w:marBottom w:val="0"/>
      <w:divBdr>
        <w:top w:val="none" w:sz="0" w:space="0" w:color="auto"/>
        <w:left w:val="none" w:sz="0" w:space="0" w:color="auto"/>
        <w:bottom w:val="none" w:sz="0" w:space="0" w:color="auto"/>
        <w:right w:val="none" w:sz="0" w:space="0" w:color="auto"/>
      </w:divBdr>
    </w:div>
    <w:div w:id="896361992">
      <w:bodyDiv w:val="1"/>
      <w:marLeft w:val="0"/>
      <w:marRight w:val="0"/>
      <w:marTop w:val="0"/>
      <w:marBottom w:val="0"/>
      <w:divBdr>
        <w:top w:val="none" w:sz="0" w:space="0" w:color="auto"/>
        <w:left w:val="none" w:sz="0" w:space="0" w:color="auto"/>
        <w:bottom w:val="none" w:sz="0" w:space="0" w:color="auto"/>
        <w:right w:val="none" w:sz="0" w:space="0" w:color="auto"/>
      </w:divBdr>
    </w:div>
    <w:div w:id="1079524970">
      <w:bodyDiv w:val="1"/>
      <w:marLeft w:val="0"/>
      <w:marRight w:val="0"/>
      <w:marTop w:val="0"/>
      <w:marBottom w:val="0"/>
      <w:divBdr>
        <w:top w:val="none" w:sz="0" w:space="0" w:color="auto"/>
        <w:left w:val="none" w:sz="0" w:space="0" w:color="auto"/>
        <w:bottom w:val="none" w:sz="0" w:space="0" w:color="auto"/>
        <w:right w:val="none" w:sz="0" w:space="0" w:color="auto"/>
      </w:divBdr>
    </w:div>
    <w:div w:id="1109085212">
      <w:bodyDiv w:val="1"/>
      <w:marLeft w:val="0"/>
      <w:marRight w:val="0"/>
      <w:marTop w:val="0"/>
      <w:marBottom w:val="0"/>
      <w:divBdr>
        <w:top w:val="none" w:sz="0" w:space="0" w:color="auto"/>
        <w:left w:val="none" w:sz="0" w:space="0" w:color="auto"/>
        <w:bottom w:val="none" w:sz="0" w:space="0" w:color="auto"/>
        <w:right w:val="none" w:sz="0" w:space="0" w:color="auto"/>
      </w:divBdr>
    </w:div>
    <w:div w:id="1179347738">
      <w:bodyDiv w:val="1"/>
      <w:marLeft w:val="0"/>
      <w:marRight w:val="0"/>
      <w:marTop w:val="0"/>
      <w:marBottom w:val="0"/>
      <w:divBdr>
        <w:top w:val="none" w:sz="0" w:space="0" w:color="auto"/>
        <w:left w:val="none" w:sz="0" w:space="0" w:color="auto"/>
        <w:bottom w:val="none" w:sz="0" w:space="0" w:color="auto"/>
        <w:right w:val="none" w:sz="0" w:space="0" w:color="auto"/>
      </w:divBdr>
    </w:div>
    <w:div w:id="1314525442">
      <w:bodyDiv w:val="1"/>
      <w:marLeft w:val="0"/>
      <w:marRight w:val="0"/>
      <w:marTop w:val="0"/>
      <w:marBottom w:val="0"/>
      <w:divBdr>
        <w:top w:val="none" w:sz="0" w:space="0" w:color="auto"/>
        <w:left w:val="none" w:sz="0" w:space="0" w:color="auto"/>
        <w:bottom w:val="none" w:sz="0" w:space="0" w:color="auto"/>
        <w:right w:val="none" w:sz="0" w:space="0" w:color="auto"/>
      </w:divBdr>
    </w:div>
    <w:div w:id="1534270419">
      <w:bodyDiv w:val="1"/>
      <w:marLeft w:val="0"/>
      <w:marRight w:val="0"/>
      <w:marTop w:val="0"/>
      <w:marBottom w:val="0"/>
      <w:divBdr>
        <w:top w:val="none" w:sz="0" w:space="0" w:color="auto"/>
        <w:left w:val="none" w:sz="0" w:space="0" w:color="auto"/>
        <w:bottom w:val="none" w:sz="0" w:space="0" w:color="auto"/>
        <w:right w:val="none" w:sz="0" w:space="0" w:color="auto"/>
      </w:divBdr>
      <w:divsChild>
        <w:div w:id="1727485154">
          <w:marLeft w:val="0"/>
          <w:marRight w:val="0"/>
          <w:marTop w:val="0"/>
          <w:marBottom w:val="0"/>
          <w:divBdr>
            <w:top w:val="none" w:sz="0" w:space="0" w:color="auto"/>
            <w:left w:val="none" w:sz="0" w:space="0" w:color="auto"/>
            <w:bottom w:val="none" w:sz="0" w:space="0" w:color="auto"/>
            <w:right w:val="none" w:sz="0" w:space="0" w:color="auto"/>
          </w:divBdr>
        </w:div>
        <w:div w:id="1884754650">
          <w:marLeft w:val="0"/>
          <w:marRight w:val="0"/>
          <w:marTop w:val="0"/>
          <w:marBottom w:val="0"/>
          <w:divBdr>
            <w:top w:val="none" w:sz="0" w:space="0" w:color="auto"/>
            <w:left w:val="none" w:sz="0" w:space="0" w:color="auto"/>
            <w:bottom w:val="none" w:sz="0" w:space="0" w:color="auto"/>
            <w:right w:val="none" w:sz="0" w:space="0" w:color="auto"/>
          </w:divBdr>
        </w:div>
        <w:div w:id="834225479">
          <w:marLeft w:val="0"/>
          <w:marRight w:val="0"/>
          <w:marTop w:val="0"/>
          <w:marBottom w:val="0"/>
          <w:divBdr>
            <w:top w:val="none" w:sz="0" w:space="0" w:color="auto"/>
            <w:left w:val="none" w:sz="0" w:space="0" w:color="auto"/>
            <w:bottom w:val="none" w:sz="0" w:space="0" w:color="auto"/>
            <w:right w:val="none" w:sz="0" w:space="0" w:color="auto"/>
          </w:divBdr>
        </w:div>
        <w:div w:id="1126970968">
          <w:marLeft w:val="0"/>
          <w:marRight w:val="0"/>
          <w:marTop w:val="0"/>
          <w:marBottom w:val="0"/>
          <w:divBdr>
            <w:top w:val="none" w:sz="0" w:space="0" w:color="auto"/>
            <w:left w:val="none" w:sz="0" w:space="0" w:color="auto"/>
            <w:bottom w:val="none" w:sz="0" w:space="0" w:color="auto"/>
            <w:right w:val="none" w:sz="0" w:space="0" w:color="auto"/>
          </w:divBdr>
        </w:div>
        <w:div w:id="1921597544">
          <w:marLeft w:val="0"/>
          <w:marRight w:val="0"/>
          <w:marTop w:val="0"/>
          <w:marBottom w:val="0"/>
          <w:divBdr>
            <w:top w:val="none" w:sz="0" w:space="0" w:color="auto"/>
            <w:left w:val="none" w:sz="0" w:space="0" w:color="auto"/>
            <w:bottom w:val="none" w:sz="0" w:space="0" w:color="auto"/>
            <w:right w:val="none" w:sz="0" w:space="0" w:color="auto"/>
          </w:divBdr>
        </w:div>
        <w:div w:id="1904170280">
          <w:marLeft w:val="0"/>
          <w:marRight w:val="0"/>
          <w:marTop w:val="0"/>
          <w:marBottom w:val="0"/>
          <w:divBdr>
            <w:top w:val="none" w:sz="0" w:space="0" w:color="auto"/>
            <w:left w:val="none" w:sz="0" w:space="0" w:color="auto"/>
            <w:bottom w:val="none" w:sz="0" w:space="0" w:color="auto"/>
            <w:right w:val="none" w:sz="0" w:space="0" w:color="auto"/>
          </w:divBdr>
        </w:div>
        <w:div w:id="250431606">
          <w:marLeft w:val="0"/>
          <w:marRight w:val="0"/>
          <w:marTop w:val="0"/>
          <w:marBottom w:val="0"/>
          <w:divBdr>
            <w:top w:val="none" w:sz="0" w:space="0" w:color="auto"/>
            <w:left w:val="none" w:sz="0" w:space="0" w:color="auto"/>
            <w:bottom w:val="none" w:sz="0" w:space="0" w:color="auto"/>
            <w:right w:val="none" w:sz="0" w:space="0" w:color="auto"/>
          </w:divBdr>
        </w:div>
        <w:div w:id="2078674200">
          <w:marLeft w:val="0"/>
          <w:marRight w:val="0"/>
          <w:marTop w:val="0"/>
          <w:marBottom w:val="0"/>
          <w:divBdr>
            <w:top w:val="none" w:sz="0" w:space="0" w:color="auto"/>
            <w:left w:val="none" w:sz="0" w:space="0" w:color="auto"/>
            <w:bottom w:val="none" w:sz="0" w:space="0" w:color="auto"/>
            <w:right w:val="none" w:sz="0" w:space="0" w:color="auto"/>
          </w:divBdr>
        </w:div>
      </w:divsChild>
    </w:div>
    <w:div w:id="1825004738">
      <w:bodyDiv w:val="1"/>
      <w:marLeft w:val="0"/>
      <w:marRight w:val="0"/>
      <w:marTop w:val="0"/>
      <w:marBottom w:val="0"/>
      <w:divBdr>
        <w:top w:val="none" w:sz="0" w:space="0" w:color="auto"/>
        <w:left w:val="none" w:sz="0" w:space="0" w:color="auto"/>
        <w:bottom w:val="none" w:sz="0" w:space="0" w:color="auto"/>
        <w:right w:val="none" w:sz="0" w:space="0" w:color="auto"/>
      </w:divBdr>
    </w:div>
    <w:div w:id="1925721621">
      <w:bodyDiv w:val="1"/>
      <w:marLeft w:val="0"/>
      <w:marRight w:val="0"/>
      <w:marTop w:val="0"/>
      <w:marBottom w:val="0"/>
      <w:divBdr>
        <w:top w:val="none" w:sz="0" w:space="0" w:color="auto"/>
        <w:left w:val="none" w:sz="0" w:space="0" w:color="auto"/>
        <w:bottom w:val="none" w:sz="0" w:space="0" w:color="auto"/>
        <w:right w:val="none" w:sz="0" w:space="0" w:color="auto"/>
      </w:divBdr>
    </w:div>
    <w:div w:id="20292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of.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24054593362342BF4957BFC7EC57C3" ma:contentTypeVersion="8" ma:contentTypeDescription="Create a new document." ma:contentTypeScope="" ma:versionID="0b106afc735e1933ab768417416d1e59">
  <xsd:schema xmlns:xsd="http://www.w3.org/2001/XMLSchema" xmlns:xs="http://www.w3.org/2001/XMLSchema" xmlns:p="http://schemas.microsoft.com/office/2006/metadata/properties" xmlns:ns3="37b42e6d-7f86-4b56-94ee-3909d06b5cfa" targetNamespace="http://schemas.microsoft.com/office/2006/metadata/properties" ma:root="true" ma:fieldsID="5802d26fbb3827d441ed14d637b49f6f" ns3:_="">
    <xsd:import namespace="37b42e6d-7f86-4b56-94ee-3909d06b5c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42e6d-7f86-4b56-94ee-3909d06b5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D3251-FF1B-4301-B917-3A4761DC54CB}">
  <ds:schemaRefs>
    <ds:schemaRef ds:uri="http://schemas.openxmlformats.org/officeDocument/2006/bibliography"/>
  </ds:schemaRefs>
</ds:datastoreItem>
</file>

<file path=customXml/itemProps2.xml><?xml version="1.0" encoding="utf-8"?>
<ds:datastoreItem xmlns:ds="http://schemas.openxmlformats.org/officeDocument/2006/customXml" ds:itemID="{314F3D60-CB44-49C2-8B1B-722724F7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42e6d-7f86-4b56-94ee-3909d06b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68B98-C2A0-4C81-BC1C-5C601EB4D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4490</Words>
  <Characters>27850</Characters>
  <Application>Microsoft Office Word</Application>
  <DocSecurity>0</DocSecurity>
  <Lines>232</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Hreferralspccleanel</vt:lpstr>
    </vt:vector>
  </TitlesOfParts>
  <Company/>
  <LinksUpToDate>false</LinksUpToDate>
  <CharactersWithSpaces>32276</CharactersWithSpaces>
  <SharedDoc>false</SharedDoc>
  <HLinks>
    <vt:vector size="6" baseType="variant">
      <vt:variant>
        <vt:i4>6291555</vt:i4>
      </vt:variant>
      <vt:variant>
        <vt:i4>0</vt:i4>
      </vt:variant>
      <vt:variant>
        <vt:i4>0</vt:i4>
      </vt:variant>
      <vt:variant>
        <vt:i4>5</vt:i4>
      </vt:variant>
      <vt:variant>
        <vt:lpwstr>http://www.eof.gr/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Fakiolaki - CW</dc:creator>
  <cp:keywords/>
  <cp:lastModifiedBy>Theofani Tsiklos Michail - EW</cp:lastModifiedBy>
  <cp:revision>3</cp:revision>
  <cp:lastPrinted>2023-08-27T14:04:00Z</cp:lastPrinted>
  <dcterms:created xsi:type="dcterms:W3CDTF">2023-08-27T14:05:00Z</dcterms:created>
  <dcterms:modified xsi:type="dcterms:W3CDTF">2024-01-10T11:30:00Z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53547</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General-EMA/53547/2010</vt:lpwstr>
  </property>
  <property fmtid="{D5CDD505-2E9C-101B-9397-08002B2CF9AE}" pid="30" name="DM_Version">
    <vt:lpwstr>CURRENT,1.0</vt:lpwstr>
  </property>
  <property fmtid="{D5CDD505-2E9C-101B-9397-08002B2CF9AE}" pid="31" name="DM_Name">
    <vt:lpwstr>Hreferralspccleanel</vt:lpwstr>
  </property>
  <property fmtid="{D5CDD505-2E9C-101B-9397-08002B2CF9AE}" pid="32" name="DM_Creation_Date">
    <vt:lpwstr>04/04/2013 15:51:28</vt:lpwstr>
  </property>
  <property fmtid="{D5CDD505-2E9C-101B-9397-08002B2CF9AE}" pid="33" name="DM_Modify_Date">
    <vt:lpwstr>04/04/2013 15:51:28</vt:lpwstr>
  </property>
  <property fmtid="{D5CDD505-2E9C-101B-9397-08002B2CF9AE}" pid="34" name="DM_Creator_Name">
    <vt:lpwstr>Horemans Karina</vt:lpwstr>
  </property>
  <property fmtid="{D5CDD505-2E9C-101B-9397-08002B2CF9AE}" pid="35" name="DM_Modifier_Name">
    <vt:lpwstr>Horemans Karina</vt:lpwstr>
  </property>
  <property fmtid="{D5CDD505-2E9C-101B-9397-08002B2CF9AE}" pid="36" name="DM_Type">
    <vt:lpwstr>emea_document</vt:lpwstr>
  </property>
  <property fmtid="{D5CDD505-2E9C-101B-9397-08002B2CF9AE}" pid="37" name="DM_DocRefId">
    <vt:lpwstr>EMA/213318/2013</vt:lpwstr>
  </property>
  <property fmtid="{D5CDD505-2E9C-101B-9397-08002B2CF9AE}" pid="38" name="DM_Category">
    <vt:lpwstr>Product Information</vt:lpwstr>
  </property>
  <property fmtid="{D5CDD505-2E9C-101B-9397-08002B2CF9AE}" pid="39" name="DM_Path">
    <vt:lpwstr>/02b. Administration of Scientific Meeting/WPs SAGs DGs and other WGs/CxMP - QRD/3. Other activities/02. Procedures/01. QRD PI templates/03 QRD H-Referral templates/05 H Referral template v 3.0 (Phvig)/03 Final templates for publication/Clean templates</vt:lpwstr>
  </property>
  <property fmtid="{D5CDD505-2E9C-101B-9397-08002B2CF9AE}" pid="40" name="DM_emea_doc_ref_id">
    <vt:lpwstr>EMA/213318/2013</vt:lpwstr>
  </property>
  <property fmtid="{D5CDD505-2E9C-101B-9397-08002B2CF9AE}" pid="41" name="DM_Modifer_Name">
    <vt:lpwstr>Horemans Karina</vt:lpwstr>
  </property>
  <property fmtid="{D5CDD505-2E9C-101B-9397-08002B2CF9AE}" pid="42" name="DM_Modified_Date">
    <vt:lpwstr>04/04/2013 15:51:28</vt:lpwstr>
  </property>
  <property fmtid="{D5CDD505-2E9C-101B-9397-08002B2CF9AE}" pid="43" name="ContentTypeId">
    <vt:lpwstr>0x0101002324054593362342BF4957BFC7EC57C3</vt:lpwstr>
  </property>
</Properties>
</file>